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5C1E" w14:textId="39C235B5" w:rsidR="00F129EE" w:rsidRPr="00E46DF4" w:rsidRDefault="00F129EE" w:rsidP="00F129EE">
      <w:pPr>
        <w:rPr>
          <w:b/>
          <w:bCs/>
        </w:rPr>
      </w:pPr>
      <w:r w:rsidRPr="73FFE4D3">
        <w:rPr>
          <w:b/>
          <w:bCs/>
        </w:rPr>
        <w:t xml:space="preserve">Consultation </w:t>
      </w:r>
      <w:r w:rsidR="0071218E" w:rsidRPr="73FFE4D3">
        <w:rPr>
          <w:b/>
          <w:bCs/>
        </w:rPr>
        <w:t xml:space="preserve">on </w:t>
      </w:r>
      <w:r w:rsidR="00DF38AF" w:rsidRPr="73FFE4D3">
        <w:rPr>
          <w:rFonts w:cs="Arial"/>
          <w:b/>
          <w:bCs/>
        </w:rPr>
        <w:t xml:space="preserve">amending </w:t>
      </w:r>
      <w:r w:rsidR="00761071" w:rsidRPr="73FFE4D3">
        <w:rPr>
          <w:rFonts w:cs="Arial"/>
          <w:b/>
          <w:bCs/>
        </w:rPr>
        <w:t>section</w:t>
      </w:r>
      <w:r w:rsidR="00DF38AF" w:rsidRPr="73FFE4D3">
        <w:rPr>
          <w:rFonts w:cs="Arial"/>
          <w:b/>
          <w:bCs/>
        </w:rPr>
        <w:t xml:space="preserve"> 2.39 in the Statement of Principles for Determining Financial Penalties in relation to the destination of future regulatory settlements</w:t>
      </w:r>
    </w:p>
    <w:p w14:paraId="06702965" w14:textId="77777777" w:rsidR="00227102" w:rsidRPr="00E46DF4" w:rsidRDefault="00227102" w:rsidP="00F129EE">
      <w:pPr>
        <w:rPr>
          <w:b/>
          <w:bCs/>
        </w:rPr>
      </w:pPr>
    </w:p>
    <w:p w14:paraId="749EC8DB" w14:textId="6572F6BA" w:rsidR="00F129EE" w:rsidRPr="00E46DF4" w:rsidRDefault="00F129EE" w:rsidP="00492B41">
      <w:pPr>
        <w:rPr>
          <w:b/>
          <w:bCs/>
        </w:rPr>
      </w:pPr>
      <w:r w:rsidRPr="00E46DF4">
        <w:rPr>
          <w:b/>
          <w:bCs/>
        </w:rPr>
        <w:t>Overview</w:t>
      </w:r>
    </w:p>
    <w:p w14:paraId="06A18B61" w14:textId="2EC32B9A" w:rsidR="00943282" w:rsidRDefault="00943282" w:rsidP="00492B41">
      <w:pPr>
        <w:rPr>
          <w:rFonts w:eastAsiaTheme="majorEastAsia" w:cs="Arial"/>
        </w:rPr>
      </w:pPr>
      <w:r>
        <w:rPr>
          <w:rFonts w:eastAsiaTheme="majorEastAsia" w:cs="Arial"/>
        </w:rPr>
        <w:t xml:space="preserve">One form of enforcement action which can be taken by the </w:t>
      </w:r>
      <w:r w:rsidR="00E70F44">
        <w:rPr>
          <w:rFonts w:eastAsiaTheme="majorEastAsia" w:cs="Arial"/>
        </w:rPr>
        <w:t xml:space="preserve">Gambling </w:t>
      </w:r>
      <w:r>
        <w:rPr>
          <w:rFonts w:eastAsiaTheme="majorEastAsia" w:cs="Arial"/>
        </w:rPr>
        <w:t>Commission is the application of financial penalties, which are paid to the Consolidated Fund</w:t>
      </w:r>
      <w:r w:rsidR="00132A84">
        <w:rPr>
          <w:rStyle w:val="FootnoteReference"/>
          <w:rFonts w:eastAsiaTheme="majorEastAsia" w:cs="Arial"/>
        </w:rPr>
        <w:footnoteReference w:id="1"/>
      </w:r>
      <w:r>
        <w:rPr>
          <w:rFonts w:eastAsiaTheme="majorEastAsia" w:cs="Arial"/>
        </w:rPr>
        <w:t xml:space="preserve">. Regulatory settlements are an alternative form of enforcement action which may involve payments in lieu of a financial penalty and these regulatory settlement amounts currently follow a different </w:t>
      </w:r>
      <w:r w:rsidR="00546BF3">
        <w:rPr>
          <w:rFonts w:eastAsiaTheme="majorEastAsia" w:cs="Arial"/>
        </w:rPr>
        <w:t>process</w:t>
      </w:r>
      <w:r>
        <w:rPr>
          <w:rFonts w:eastAsiaTheme="majorEastAsia" w:cs="Arial"/>
        </w:rPr>
        <w:t xml:space="preserve"> which was developed before the introduction of a statutory levy system for research, prevention and treatment.  </w:t>
      </w:r>
    </w:p>
    <w:p w14:paraId="419D17C5" w14:textId="3AC61274" w:rsidR="005B1656" w:rsidRPr="00E46DF4" w:rsidRDefault="005B1656" w:rsidP="00492B41">
      <w:r w:rsidRPr="00E46DF4">
        <w:t>In the April 2023 </w:t>
      </w:r>
      <w:hyperlink r:id="rId14" w:tgtFrame="_blank" w:history="1">
        <w:r w:rsidRPr="00E46DF4">
          <w:rPr>
            <w:rStyle w:val="Hyperlink"/>
          </w:rPr>
          <w:t>White Paper</w:t>
        </w:r>
        <w:r w:rsidR="00625BAA">
          <w:rPr>
            <w:rStyle w:val="Hyperlink"/>
          </w:rPr>
          <w:t>,</w:t>
        </w:r>
        <w:r w:rsidRPr="00E46DF4">
          <w:rPr>
            <w:rStyle w:val="Hyperlink"/>
          </w:rPr>
          <w:t xml:space="preserve"> High Stakes: gambling reform for the digital age (opens in new tab)</w:t>
        </w:r>
      </w:hyperlink>
      <w:r w:rsidRPr="00E46DF4">
        <w:t> </w:t>
      </w:r>
      <w:r w:rsidR="00625BAA">
        <w:t xml:space="preserve">the </w:t>
      </w:r>
      <w:r w:rsidR="00091B14">
        <w:t>Government</w:t>
      </w:r>
      <w:r w:rsidRPr="00E46DF4">
        <w:t xml:space="preserve"> committed to introducing a statutory levy as provided for in Section 123 of the Gambling Act 2005. Following consultation and the necessary legislative processes, the </w:t>
      </w:r>
      <w:hyperlink r:id="rId15" w:tgtFrame="_blank" w:history="1">
        <w:r w:rsidRPr="00E46DF4">
          <w:rPr>
            <w:rStyle w:val="Hyperlink"/>
          </w:rPr>
          <w:t>statutory levy came into force in April 2025 (opens in new tab)</w:t>
        </w:r>
      </w:hyperlink>
      <w:r w:rsidRPr="00E46DF4">
        <w:t>.</w:t>
      </w:r>
    </w:p>
    <w:p w14:paraId="50CF8F7E" w14:textId="59B836E5" w:rsidR="00081DFE" w:rsidRDefault="00081DFE" w:rsidP="00F129EE">
      <w:r w:rsidRPr="00E46DF4">
        <w:t xml:space="preserve">In </w:t>
      </w:r>
      <w:r w:rsidR="00514935">
        <w:t>the Commission’s</w:t>
      </w:r>
      <w:r w:rsidRPr="00E46DF4">
        <w:t xml:space="preserve"> </w:t>
      </w:r>
      <w:r w:rsidR="004073FD" w:rsidRPr="00E46DF4">
        <w:t xml:space="preserve">supplementary </w:t>
      </w:r>
      <w:hyperlink r:id="rId16" w:history="1">
        <w:r w:rsidR="00687026" w:rsidRPr="00E46DF4">
          <w:rPr>
            <w:rStyle w:val="Hyperlink"/>
          </w:rPr>
          <w:t xml:space="preserve">advice to </w:t>
        </w:r>
        <w:r w:rsidR="00091B14">
          <w:rPr>
            <w:rStyle w:val="Hyperlink"/>
          </w:rPr>
          <w:t>Government</w:t>
        </w:r>
        <w:r w:rsidR="00687026" w:rsidRPr="00E46DF4">
          <w:rPr>
            <w:rStyle w:val="Hyperlink"/>
          </w:rPr>
          <w:t xml:space="preserve"> on the design and implementation of a statutory levy (opens in a new tab)</w:t>
        </w:r>
      </w:hyperlink>
      <w:r w:rsidR="005D7B54" w:rsidRPr="00E46DF4">
        <w:t xml:space="preserve"> </w:t>
      </w:r>
      <w:r w:rsidR="00226620">
        <w:t xml:space="preserve">published </w:t>
      </w:r>
      <w:r w:rsidR="005D7B54" w:rsidRPr="00E46DF4">
        <w:t>in November 2023</w:t>
      </w:r>
      <w:r w:rsidR="00583A91" w:rsidRPr="00E46DF4">
        <w:t xml:space="preserve"> we </w:t>
      </w:r>
      <w:r w:rsidR="007B0509" w:rsidRPr="00E46DF4">
        <w:t xml:space="preserve">identified that </w:t>
      </w:r>
      <w:r w:rsidR="009843D2" w:rsidRPr="00E46DF4">
        <w:t xml:space="preserve">one outcome of the levy was that the Commission would need to give due consideration to the future destination of regulatory settlements which </w:t>
      </w:r>
      <w:r w:rsidR="007234BF" w:rsidRPr="00E46DF4">
        <w:t xml:space="preserve">can be an outcome when the Commission takes regulatory action against a </w:t>
      </w:r>
      <w:r w:rsidR="00226620">
        <w:t>licensee</w:t>
      </w:r>
      <w:r w:rsidR="007234BF" w:rsidRPr="00E46DF4">
        <w:t xml:space="preserve">. The </w:t>
      </w:r>
      <w:r w:rsidR="001561EA" w:rsidRPr="00E46DF4">
        <w:t xml:space="preserve">process for determining the destination of a </w:t>
      </w:r>
      <w:r w:rsidR="00A35554" w:rsidRPr="00E46DF4">
        <w:t xml:space="preserve">regulatory </w:t>
      </w:r>
      <w:r w:rsidR="001561EA" w:rsidRPr="00E46DF4">
        <w:t>settlement</w:t>
      </w:r>
      <w:r w:rsidR="00A35554" w:rsidRPr="00E46DF4">
        <w:t>, also referred to as a payment in lieu of a financial penalty</w:t>
      </w:r>
      <w:r w:rsidR="001561EA" w:rsidRPr="00E46DF4">
        <w:t xml:space="preserve">, is </w:t>
      </w:r>
      <w:r w:rsidR="00226620">
        <w:t xml:space="preserve">currently </w:t>
      </w:r>
      <w:r w:rsidR="001561EA" w:rsidRPr="00E46DF4">
        <w:t xml:space="preserve">set out in </w:t>
      </w:r>
      <w:r w:rsidR="00226620">
        <w:t>section</w:t>
      </w:r>
      <w:r w:rsidR="00687026" w:rsidRPr="00E46DF4">
        <w:t xml:space="preserve"> 2.39 of </w:t>
      </w:r>
      <w:r w:rsidR="001561EA" w:rsidRPr="00E46DF4">
        <w:t xml:space="preserve">our </w:t>
      </w:r>
      <w:hyperlink r:id="rId17" w:history="1">
        <w:r w:rsidR="00687026" w:rsidRPr="00E46DF4">
          <w:rPr>
            <w:rStyle w:val="Hyperlink"/>
          </w:rPr>
          <w:t>Statement of principles for determining financial penalties (opens in a new tab)</w:t>
        </w:r>
      </w:hyperlink>
      <w:r w:rsidR="001561EA" w:rsidRPr="00E46DF4">
        <w:t>.</w:t>
      </w:r>
    </w:p>
    <w:p w14:paraId="5C62376E" w14:textId="6B782D98" w:rsidR="00FA096B" w:rsidRPr="00E46DF4" w:rsidRDefault="00B26827" w:rsidP="00FA096B">
      <w:r>
        <w:t xml:space="preserve">The Commission committed to working with </w:t>
      </w:r>
      <w:r w:rsidR="008F72BC">
        <w:t>G</w:t>
      </w:r>
      <w:r w:rsidR="00091B14">
        <w:t xml:space="preserve">overnment </w:t>
      </w:r>
      <w:r>
        <w:t>and the levy commissioning bodies to</w:t>
      </w:r>
      <w:r w:rsidR="00FA096B">
        <w:t xml:space="preserve"> explore </w:t>
      </w:r>
      <w:r w:rsidR="00FA096B" w:rsidRPr="00E46DF4">
        <w:t>how any regulatory settlement process c</w:t>
      </w:r>
      <w:r w:rsidR="00FA096B">
        <w:t>ould</w:t>
      </w:r>
      <w:r w:rsidR="00FA096B" w:rsidRPr="00E46DF4">
        <w:t xml:space="preserve">, as far as possible, </w:t>
      </w:r>
      <w:r w:rsidR="0008709A">
        <w:t>mirror</w:t>
      </w:r>
      <w:r w:rsidR="00FA096B" w:rsidRPr="00E46DF4">
        <w:t xml:space="preserve"> the new levy </w:t>
      </w:r>
      <w:r w:rsidR="00A264CB">
        <w:t>commissioning structure</w:t>
      </w:r>
      <w:r w:rsidR="00FB3E1E">
        <w:t>s</w:t>
      </w:r>
      <w:r w:rsidR="00A264CB" w:rsidRPr="00E46DF4">
        <w:t xml:space="preserve"> </w:t>
      </w:r>
      <w:r w:rsidR="00FA096B" w:rsidRPr="00E46DF4">
        <w:t xml:space="preserve">and avoid a dual system or </w:t>
      </w:r>
      <w:r w:rsidR="0008709A">
        <w:t xml:space="preserve">any </w:t>
      </w:r>
      <w:r w:rsidR="00FA096B" w:rsidRPr="00E46DF4">
        <w:t>duplication of work being funded by the statutory levy.</w:t>
      </w:r>
    </w:p>
    <w:p w14:paraId="3411DAA5" w14:textId="2264F211" w:rsidR="00CB7DC9" w:rsidRPr="00E46DF4" w:rsidRDefault="00CB7DC9" w:rsidP="00F129EE">
      <w:r>
        <w:t xml:space="preserve">Following </w:t>
      </w:r>
      <w:r w:rsidR="00B26827">
        <w:t xml:space="preserve">discussions with </w:t>
      </w:r>
      <w:r w:rsidR="00091B14">
        <w:t xml:space="preserve">Government </w:t>
      </w:r>
      <w:r w:rsidR="00B26827">
        <w:t xml:space="preserve">and the new levy commissioning bodies it has been </w:t>
      </w:r>
      <w:r w:rsidR="0008709A">
        <w:t xml:space="preserve">concluded that this </w:t>
      </w:r>
      <w:r w:rsidR="00650A49">
        <w:t xml:space="preserve">would not be feasible </w:t>
      </w:r>
      <w:r w:rsidR="00C10E54">
        <w:t xml:space="preserve">given the </w:t>
      </w:r>
      <w:r w:rsidR="00C10E54" w:rsidRPr="00772C49">
        <w:rPr>
          <w:rFonts w:eastAsiaTheme="majorEastAsia" w:cs="Arial"/>
        </w:rPr>
        <w:t>complexity and potential volatility of regulatory settlement funds</w:t>
      </w:r>
      <w:r w:rsidR="00DA73D2">
        <w:rPr>
          <w:rFonts w:eastAsiaTheme="majorEastAsia" w:cs="Arial"/>
        </w:rPr>
        <w:t>. T</w:t>
      </w:r>
      <w:r w:rsidR="00650A49">
        <w:t xml:space="preserve">he Commission is now consulting on a proposed amendment to section </w:t>
      </w:r>
      <w:r w:rsidR="00650A49" w:rsidRPr="00E46DF4">
        <w:t xml:space="preserve">2.39 of our </w:t>
      </w:r>
      <w:hyperlink r:id="rId18" w:history="1">
        <w:r w:rsidR="00650A49" w:rsidRPr="00E46DF4">
          <w:rPr>
            <w:rStyle w:val="Hyperlink"/>
          </w:rPr>
          <w:t>Statement of principles for determining financial penalties (opens in a new tab)</w:t>
        </w:r>
      </w:hyperlink>
      <w:r w:rsidR="00650A49">
        <w:t xml:space="preserve"> t</w:t>
      </w:r>
      <w:r w:rsidR="0065781B">
        <w:t xml:space="preserve">hat would see any future regulatory settlements being sent to the Consolidated Fund </w:t>
      </w:r>
      <w:r w:rsidR="00E34A7A">
        <w:t>as financial penalties are.</w:t>
      </w:r>
      <w:r w:rsidR="00334FEB">
        <w:t xml:space="preserve"> This would </w:t>
      </w:r>
      <w:r w:rsidR="002A2A68">
        <w:t>ensure that any future regulatory settlements</w:t>
      </w:r>
      <w:r w:rsidR="007F4DEE">
        <w:t>, which</w:t>
      </w:r>
      <w:r w:rsidR="002A2A68">
        <w:t xml:space="preserve"> </w:t>
      </w:r>
      <w:r w:rsidR="007F4DEE" w:rsidRPr="00772C49">
        <w:rPr>
          <w:rFonts w:eastAsiaTheme="majorEastAsia" w:cs="Arial"/>
        </w:rPr>
        <w:t>are an important option in the Commission’s regulatory toolkit</w:t>
      </w:r>
      <w:r w:rsidR="007F4DEE">
        <w:rPr>
          <w:rFonts w:eastAsiaTheme="majorEastAsia" w:cs="Arial"/>
        </w:rPr>
        <w:t>,</w:t>
      </w:r>
      <w:r w:rsidR="007F4DEE">
        <w:t xml:space="preserve"> </w:t>
      </w:r>
      <w:r w:rsidR="002A2A68">
        <w:t xml:space="preserve">are paid quickly to the Consolidated Fund and </w:t>
      </w:r>
      <w:r w:rsidR="00091B14">
        <w:t>Government</w:t>
      </w:r>
      <w:r w:rsidR="002A2A68">
        <w:t xml:space="preserve"> could decide on its u</w:t>
      </w:r>
      <w:r w:rsidR="00907C49">
        <w:t>se</w:t>
      </w:r>
      <w:r w:rsidR="00AB13FF">
        <w:t xml:space="preserve"> </w:t>
      </w:r>
      <w:r w:rsidR="00E513FC">
        <w:t>as it does with financial penalties</w:t>
      </w:r>
      <w:r w:rsidR="00907C49">
        <w:t xml:space="preserve">. It would avoid </w:t>
      </w:r>
      <w:r w:rsidR="00907C49">
        <w:lastRenderedPageBreak/>
        <w:t>the risk of activity separate to the</w:t>
      </w:r>
      <w:r w:rsidR="00B77ABA">
        <w:t xml:space="preserve"> new</w:t>
      </w:r>
      <w:r w:rsidR="00907C49">
        <w:t xml:space="preserve"> levy</w:t>
      </w:r>
      <w:r w:rsidR="00B77ABA">
        <w:t xml:space="preserve"> system</w:t>
      </w:r>
      <w:r w:rsidR="00907C49">
        <w:t xml:space="preserve"> taking place outside of proper commissioning </w:t>
      </w:r>
      <w:r w:rsidR="00B77ABA">
        <w:t>and evaluation processes or developing in an uncoordinated manner.</w:t>
      </w:r>
    </w:p>
    <w:p w14:paraId="400FA72F" w14:textId="77777777" w:rsidR="00F129EE" w:rsidRPr="00E46DF4" w:rsidRDefault="00F129EE" w:rsidP="00F129EE">
      <w:pPr>
        <w:rPr>
          <w:b/>
          <w:bCs/>
        </w:rPr>
      </w:pPr>
      <w:r w:rsidRPr="00E46DF4">
        <w:rPr>
          <w:b/>
          <w:bCs/>
        </w:rPr>
        <w:t>Why your views matter</w:t>
      </w:r>
    </w:p>
    <w:p w14:paraId="338D9409" w14:textId="0328254F" w:rsidR="00F129EE" w:rsidRPr="00E46DF4" w:rsidRDefault="00F129EE" w:rsidP="00F129EE">
      <w:r w:rsidRPr="00E46DF4">
        <w:t xml:space="preserve">This consultation sets out </w:t>
      </w:r>
      <w:r w:rsidR="00B970AF" w:rsidRPr="00E46DF4">
        <w:t xml:space="preserve">a </w:t>
      </w:r>
      <w:r w:rsidRPr="00E46DF4">
        <w:t xml:space="preserve">proposal that </w:t>
      </w:r>
      <w:r w:rsidR="00B970AF" w:rsidRPr="00E46DF4">
        <w:t xml:space="preserve">would </w:t>
      </w:r>
      <w:r w:rsidRPr="00E46DF4">
        <w:t xml:space="preserve">amend or remove wording in our </w:t>
      </w:r>
      <w:hyperlink r:id="rId19" w:history="1">
        <w:r w:rsidR="00687026" w:rsidRPr="00E46DF4">
          <w:rPr>
            <w:rStyle w:val="Hyperlink"/>
          </w:rPr>
          <w:t>Statement of principles for determining financial penalties (opens in a new tab)</w:t>
        </w:r>
      </w:hyperlink>
      <w:r w:rsidRPr="00E46DF4">
        <w:t xml:space="preserve">. All stakeholders, including consumers, gambling licensees and members of the public are invited to share their views on these proposals and provide a response to the proposed amendment. These views will help us </w:t>
      </w:r>
      <w:r w:rsidR="00885489">
        <w:t>further consider</w:t>
      </w:r>
      <w:r w:rsidR="00885489" w:rsidRPr="00E46DF4">
        <w:t xml:space="preserve"> </w:t>
      </w:r>
      <w:r w:rsidR="00227102" w:rsidRPr="00E46DF4">
        <w:t>the appropriateness of our proposal</w:t>
      </w:r>
      <w:r w:rsidRPr="00E46DF4">
        <w:t>.</w:t>
      </w:r>
    </w:p>
    <w:p w14:paraId="75F10D95" w14:textId="636BAE63" w:rsidR="00F129EE" w:rsidRPr="00E46DF4" w:rsidRDefault="00F129EE" w:rsidP="00F129EE">
      <w:pPr>
        <w:rPr>
          <w:b/>
          <w:bCs/>
        </w:rPr>
      </w:pPr>
      <w:r w:rsidRPr="00E46DF4">
        <w:rPr>
          <w:b/>
          <w:bCs/>
        </w:rPr>
        <w:t>Responding to the consultation</w:t>
      </w:r>
    </w:p>
    <w:p w14:paraId="7A9C381A" w14:textId="0CEFE021" w:rsidR="00F129EE" w:rsidRPr="00E46DF4" w:rsidRDefault="00F129EE" w:rsidP="00F129EE">
      <w:r w:rsidRPr="00E46DF4">
        <w:t xml:space="preserve">Thank you for taking part in the consultation. This consultation document covers </w:t>
      </w:r>
      <w:r w:rsidR="00227102" w:rsidRPr="00E46DF4">
        <w:t xml:space="preserve">one </w:t>
      </w:r>
      <w:r w:rsidRPr="00E46DF4">
        <w:t xml:space="preserve">proposal and has </w:t>
      </w:r>
      <w:proofErr w:type="gramStart"/>
      <w:r w:rsidRPr="00E46DF4">
        <w:t>a number of</w:t>
      </w:r>
      <w:proofErr w:type="gramEnd"/>
      <w:r w:rsidRPr="00E46DF4">
        <w:t xml:space="preserve"> questions for you to answer. You can respond to as few or as many questions as you wish and we will consider all responses.</w:t>
      </w:r>
    </w:p>
    <w:p w14:paraId="55E1E8A2" w14:textId="77777777" w:rsidR="00F129EE" w:rsidRPr="00E46DF4" w:rsidRDefault="00F129EE" w:rsidP="00F129EE">
      <w:r w:rsidRPr="00E46DF4">
        <w:t>We ask that everyone responds to this consultation using the online survey</w:t>
      </w:r>
      <w:r w:rsidRPr="00E46DF4">
        <w:rPr>
          <w:b/>
          <w:bCs/>
        </w:rPr>
        <w:t>,</w:t>
      </w:r>
      <w:r w:rsidRPr="00E46DF4">
        <w:t xml:space="preserve"> although responses can be submitted by post to: Policy Team, Gambling Commission, 4</w:t>
      </w:r>
      <w:r w:rsidRPr="00E46DF4">
        <w:rPr>
          <w:vertAlign w:val="superscript"/>
        </w:rPr>
        <w:t>th</w:t>
      </w:r>
      <w:r w:rsidRPr="00E46DF4">
        <w:t xml:space="preserve"> Floor, Victoria Square House, Birmingham, B2 4BP. </w:t>
      </w:r>
    </w:p>
    <w:p w14:paraId="48FCC09E" w14:textId="77777777" w:rsidR="00F129EE" w:rsidRPr="00E46DF4" w:rsidRDefault="00F129EE" w:rsidP="00F129EE">
      <w:r w:rsidRPr="00E46DF4">
        <w:t>The print version of the consultation document is laid out slightly differently to the online version.</w:t>
      </w:r>
    </w:p>
    <w:p w14:paraId="0E9CFE0C" w14:textId="77777777" w:rsidR="00F129EE" w:rsidRPr="00E46DF4" w:rsidRDefault="00F129EE" w:rsidP="00F129EE">
      <w:r w:rsidRPr="00E46DF4">
        <w:t xml:space="preserve">We may decide to publish your name (if you are responding in a personal capacity) or the name of your organisation (if you are responding on your organisation’s behalf) on our website to indicate that you responded to this consultation. Please confirm within the survey whether you give consent to these details being published. </w:t>
      </w:r>
    </w:p>
    <w:p w14:paraId="799B8E55" w14:textId="77777777" w:rsidR="00F129EE" w:rsidRPr="00E46DF4" w:rsidRDefault="00F129EE" w:rsidP="00F129EE">
      <w:pPr>
        <w:rPr>
          <w:b/>
          <w:bCs/>
        </w:rPr>
      </w:pPr>
      <w:r w:rsidRPr="00E46DF4">
        <w:t xml:space="preserve">Information about how the Gambling Commission processes your personal information, including a specific section on information we collect as part of a Gambling Commission consultation exercise, can be found in the </w:t>
      </w:r>
      <w:hyperlink r:id="rId20" w:history="1">
        <w:r w:rsidRPr="00E46DF4">
          <w:rPr>
            <w:rStyle w:val="Hyperlink"/>
            <w:b/>
            <w:bCs/>
          </w:rPr>
          <w:t>Gambling Commission’s Privacy Policy</w:t>
        </w:r>
      </w:hyperlink>
      <w:r w:rsidRPr="00E46DF4">
        <w:rPr>
          <w:b/>
          <w:bCs/>
        </w:rPr>
        <w:t>.</w:t>
      </w:r>
    </w:p>
    <w:p w14:paraId="0A170250" w14:textId="685BA884" w:rsidR="00F129EE" w:rsidRPr="00E46DF4" w:rsidRDefault="00F129EE" w:rsidP="00F129EE">
      <w:pPr>
        <w:rPr>
          <w:b/>
          <w:bCs/>
        </w:rPr>
      </w:pPr>
      <w:r w:rsidRPr="006064BB">
        <w:rPr>
          <w:b/>
          <w:bCs/>
        </w:rPr>
        <w:t xml:space="preserve">The consultation will </w:t>
      </w:r>
      <w:r w:rsidR="00F47400" w:rsidRPr="006064BB">
        <w:rPr>
          <w:b/>
          <w:bCs/>
        </w:rPr>
        <w:t>run</w:t>
      </w:r>
      <w:r w:rsidRPr="006064BB">
        <w:rPr>
          <w:b/>
          <w:bCs/>
        </w:rPr>
        <w:t xml:space="preserve"> for </w:t>
      </w:r>
      <w:r w:rsidR="00125309" w:rsidRPr="006064BB">
        <w:rPr>
          <w:b/>
          <w:bCs/>
        </w:rPr>
        <w:t>8</w:t>
      </w:r>
      <w:r w:rsidRPr="006064BB">
        <w:rPr>
          <w:b/>
          <w:bCs/>
        </w:rPr>
        <w:t xml:space="preserve"> weeks and will close on </w:t>
      </w:r>
      <w:r w:rsidR="00AA0F41" w:rsidRPr="006064BB">
        <w:rPr>
          <w:b/>
          <w:bCs/>
        </w:rPr>
        <w:t>Thursday 2 April</w:t>
      </w:r>
      <w:r w:rsidR="00125309" w:rsidRPr="006064BB">
        <w:rPr>
          <w:b/>
          <w:bCs/>
        </w:rPr>
        <w:t xml:space="preserve"> </w:t>
      </w:r>
      <w:r w:rsidRPr="006064BB">
        <w:rPr>
          <w:b/>
          <w:bCs/>
        </w:rPr>
        <w:t>202</w:t>
      </w:r>
      <w:r w:rsidR="00227102" w:rsidRPr="006064BB">
        <w:rPr>
          <w:b/>
          <w:bCs/>
        </w:rPr>
        <w:t>6</w:t>
      </w:r>
      <w:r w:rsidRPr="006064BB">
        <w:rPr>
          <w:b/>
          <w:bCs/>
        </w:rPr>
        <w:t>.</w:t>
      </w:r>
    </w:p>
    <w:p w14:paraId="2FC076C1" w14:textId="22127EB1" w:rsidR="00F129EE" w:rsidRPr="00C46DFD" w:rsidRDefault="00C46DFD" w:rsidP="00F129EE">
      <w:pPr>
        <w:rPr>
          <w:b/>
          <w:bCs/>
        </w:rPr>
      </w:pPr>
      <w:r w:rsidRPr="00C46DFD">
        <w:t xml:space="preserve">The Commission follows good principles of running a consultation for a proportionate </w:t>
      </w:r>
      <w:proofErr w:type="gramStart"/>
      <w:r w:rsidRPr="00C46DFD">
        <w:t>period of time</w:t>
      </w:r>
      <w:proofErr w:type="gramEnd"/>
      <w:r w:rsidRPr="00C46DFD">
        <w:t xml:space="preserve">, </w:t>
      </w:r>
      <w:proofErr w:type="gramStart"/>
      <w:r w:rsidRPr="00C46DFD">
        <w:t>taking into account</w:t>
      </w:r>
      <w:proofErr w:type="gramEnd"/>
      <w:r w:rsidRPr="00C46DFD">
        <w:t xml:space="preserve"> the nature and impact of the proposal.  Given that this is a non-complex single topic consultation with a narrow scope, we propose a consultation window of eight weeks. The proposal does not have a direct impact on licensees in terms of incurring costs or needing to change processes and we do not anticipate that stakeholders’ responses will be complex. We are also of the view that it would be more beneficial for stakeholders to have clarity on the future destination of regulatory settlements as soon as is practicable. Taking </w:t>
      </w:r>
      <w:proofErr w:type="gramStart"/>
      <w:r w:rsidRPr="00C46DFD">
        <w:t>all of</w:t>
      </w:r>
      <w:proofErr w:type="gramEnd"/>
      <w:r w:rsidRPr="00C46DFD">
        <w:t xml:space="preserve"> these factors into account, we therefore believe that an eight-week response window is appropriate and proportionate for this consultation proposal. </w:t>
      </w:r>
    </w:p>
    <w:p w14:paraId="05988CBA" w14:textId="5B641C38" w:rsidR="00F129EE" w:rsidRPr="00E46DF4" w:rsidRDefault="00F129EE" w:rsidP="00F129EE">
      <w:pPr>
        <w:rPr>
          <w:b/>
          <w:bCs/>
        </w:rPr>
      </w:pPr>
      <w:r w:rsidRPr="00E46DF4">
        <w:rPr>
          <w:b/>
          <w:bCs/>
        </w:rPr>
        <w:lastRenderedPageBreak/>
        <w:t>Introductory Questions</w:t>
      </w:r>
    </w:p>
    <w:p w14:paraId="79803158" w14:textId="77777777" w:rsidR="00F129EE" w:rsidRPr="00E46DF4" w:rsidRDefault="00F129EE" w:rsidP="00F129EE">
      <w:r w:rsidRPr="00E46DF4">
        <w:t>What is your name?</w:t>
      </w:r>
    </w:p>
    <w:p w14:paraId="6DA488A9" w14:textId="77777777" w:rsidR="00F129EE" w:rsidRPr="00E46DF4" w:rsidRDefault="00F129EE" w:rsidP="00F129EE">
      <w:r w:rsidRPr="00E46DF4">
        <w:t>Name</w:t>
      </w:r>
    </w:p>
    <w:p w14:paraId="19B0E669" w14:textId="7012CD0B" w:rsidR="00F129EE" w:rsidRPr="00E46DF4" w:rsidRDefault="00F129EE" w:rsidP="00F129EE">
      <w:r w:rsidRPr="00E46DF4">
        <w:t>What is your email address?</w:t>
      </w:r>
    </w:p>
    <w:p w14:paraId="3283FE12" w14:textId="77777777" w:rsidR="00F129EE" w:rsidRPr="00E46DF4" w:rsidRDefault="00F129EE" w:rsidP="00F129EE">
      <w:r w:rsidRPr="00E46DF4">
        <w:t>Email</w:t>
      </w:r>
    </w:p>
    <w:p w14:paraId="5BFC8D0E" w14:textId="77777777" w:rsidR="00F129EE" w:rsidRPr="00E46DF4" w:rsidRDefault="00F129EE" w:rsidP="00F129EE">
      <w:r w:rsidRPr="00E46DF4">
        <w:t>What is the name of your organisation (if relevant)?</w:t>
      </w:r>
    </w:p>
    <w:p w14:paraId="0C4662B9" w14:textId="77777777" w:rsidR="00F129EE" w:rsidRPr="00E46DF4" w:rsidRDefault="00F129EE" w:rsidP="00F129EE">
      <w:r w:rsidRPr="00E46DF4">
        <w:t>Organisation name (if relevant)</w:t>
      </w:r>
    </w:p>
    <w:p w14:paraId="32DF94B2" w14:textId="77777777" w:rsidR="00F129EE" w:rsidRPr="00E46DF4" w:rsidRDefault="00F129EE" w:rsidP="00F129EE">
      <w:r w:rsidRPr="00E46DF4">
        <w:t xml:space="preserve">As part of this consultation, we may decide to publish your name (if you are responding in a personal capacity) or the name of your organisation (if you are responding on your organisation’s behalf) on our website to indicate that you responded to this consultation. </w:t>
      </w:r>
    </w:p>
    <w:p w14:paraId="4128166B" w14:textId="77777777" w:rsidR="00F129EE" w:rsidRPr="00E46DF4" w:rsidRDefault="00F129EE" w:rsidP="00F129EE">
      <w:r w:rsidRPr="00E46DF4">
        <w:t>Do you provide your consent to these details being published?</w:t>
      </w:r>
    </w:p>
    <w:p w14:paraId="6768491E" w14:textId="77777777" w:rsidR="00F129EE" w:rsidRPr="00E46DF4" w:rsidRDefault="00F129EE" w:rsidP="00F129EE">
      <w:r w:rsidRPr="00E46DF4">
        <w:t>(Required)</w:t>
      </w:r>
    </w:p>
    <w:p w14:paraId="2B7FD3FC" w14:textId="77777777" w:rsidR="00F129EE" w:rsidRPr="00E46DF4" w:rsidRDefault="00F129EE" w:rsidP="00F129EE">
      <w:pPr>
        <w:numPr>
          <w:ilvl w:val="0"/>
          <w:numId w:val="1"/>
        </w:numPr>
      </w:pPr>
      <w:r w:rsidRPr="00E46DF4">
        <w:t>I CONSENT to the publication of my name or organisation to indicate I responded to this consultation.</w:t>
      </w:r>
    </w:p>
    <w:p w14:paraId="61F441D6" w14:textId="77777777" w:rsidR="00F129EE" w:rsidRPr="00E46DF4" w:rsidRDefault="00F129EE" w:rsidP="00F129EE">
      <w:pPr>
        <w:numPr>
          <w:ilvl w:val="0"/>
          <w:numId w:val="1"/>
        </w:numPr>
      </w:pPr>
      <w:r w:rsidRPr="00E46DF4">
        <w:t>I DO NOT CONSENT to the publication of my name or organisation to indicate I responded to this consultation.</w:t>
      </w:r>
    </w:p>
    <w:p w14:paraId="649E4552" w14:textId="77777777" w:rsidR="00F129EE" w:rsidRPr="00E46DF4" w:rsidRDefault="00F129EE" w:rsidP="00F129EE">
      <w:pPr>
        <w:rPr>
          <w:b/>
          <w:bCs/>
        </w:rPr>
      </w:pPr>
      <w:hyperlink r:id="rId21" w:history="1">
        <w:r w:rsidRPr="00E46DF4">
          <w:rPr>
            <w:rStyle w:val="Hyperlink"/>
            <w:b/>
            <w:bCs/>
          </w:rPr>
          <w:t>Gambling Commission’s Privacy Policy</w:t>
        </w:r>
      </w:hyperlink>
      <w:r w:rsidRPr="00E46DF4">
        <w:rPr>
          <w:b/>
          <w:bCs/>
        </w:rPr>
        <w:t>.</w:t>
      </w:r>
    </w:p>
    <w:p w14:paraId="04CA3DDA" w14:textId="77777777" w:rsidR="00F129EE" w:rsidRPr="00E46DF4" w:rsidRDefault="00F129EE" w:rsidP="00F129EE">
      <w:r w:rsidRPr="00E46DF4">
        <w:t>Tell us a little bit about you to help us understand your perspective. Are you:</w:t>
      </w:r>
    </w:p>
    <w:p w14:paraId="4A37F0DD" w14:textId="77777777" w:rsidR="00F129EE" w:rsidRPr="00E46DF4" w:rsidRDefault="00F129EE" w:rsidP="00F129EE">
      <w:r w:rsidRPr="00E46DF4">
        <w:t>Multiple choice answer</w:t>
      </w:r>
    </w:p>
    <w:p w14:paraId="71D80C77" w14:textId="307DF077" w:rsidR="00F129EE" w:rsidRPr="00E46DF4" w:rsidRDefault="00F129EE" w:rsidP="00227102">
      <w:pPr>
        <w:pStyle w:val="ListParagraph"/>
        <w:numPr>
          <w:ilvl w:val="0"/>
          <w:numId w:val="3"/>
        </w:numPr>
      </w:pPr>
      <w:r w:rsidRPr="00E46DF4">
        <w:t>An academic, responding as an individual</w:t>
      </w:r>
    </w:p>
    <w:p w14:paraId="08631903" w14:textId="77777777" w:rsidR="00F129EE" w:rsidRPr="00E46DF4" w:rsidRDefault="00F129EE" w:rsidP="00F129EE">
      <w:pPr>
        <w:numPr>
          <w:ilvl w:val="0"/>
          <w:numId w:val="3"/>
        </w:numPr>
      </w:pPr>
      <w:r w:rsidRPr="00E46DF4">
        <w:t xml:space="preserve">A person, responding in a personal capacity who is or has worked in a gambling business </w:t>
      </w:r>
    </w:p>
    <w:p w14:paraId="5CC32B3B" w14:textId="77777777" w:rsidR="00F129EE" w:rsidRPr="00E46DF4" w:rsidRDefault="00F129EE" w:rsidP="00F129EE">
      <w:pPr>
        <w:numPr>
          <w:ilvl w:val="0"/>
          <w:numId w:val="3"/>
        </w:numPr>
      </w:pPr>
      <w:r w:rsidRPr="00E46DF4">
        <w:t>A member of the public</w:t>
      </w:r>
    </w:p>
    <w:p w14:paraId="465E578A" w14:textId="77777777" w:rsidR="00F129EE" w:rsidRPr="00E46DF4" w:rsidRDefault="00F129EE" w:rsidP="00F129EE">
      <w:pPr>
        <w:numPr>
          <w:ilvl w:val="0"/>
          <w:numId w:val="3"/>
        </w:numPr>
      </w:pPr>
      <w:r w:rsidRPr="00E46DF4">
        <w:t>A person representing a charity and/or non-profit</w:t>
      </w:r>
    </w:p>
    <w:p w14:paraId="2C51328F" w14:textId="77777777" w:rsidR="00F129EE" w:rsidRPr="00E46DF4" w:rsidRDefault="00F129EE" w:rsidP="00F129EE">
      <w:pPr>
        <w:numPr>
          <w:ilvl w:val="0"/>
          <w:numId w:val="3"/>
        </w:numPr>
      </w:pPr>
      <w:r w:rsidRPr="00E46DF4">
        <w:t>A person representing a gambling business</w:t>
      </w:r>
    </w:p>
    <w:p w14:paraId="420D613B" w14:textId="77777777" w:rsidR="00F129EE" w:rsidRPr="00E46DF4" w:rsidRDefault="00F129EE" w:rsidP="00F129EE">
      <w:pPr>
        <w:numPr>
          <w:ilvl w:val="0"/>
          <w:numId w:val="3"/>
        </w:numPr>
      </w:pPr>
      <w:r w:rsidRPr="00E46DF4">
        <w:t>A person representing a trade association</w:t>
      </w:r>
    </w:p>
    <w:p w14:paraId="1657E0A3" w14:textId="77777777" w:rsidR="00F129EE" w:rsidRPr="00E46DF4" w:rsidRDefault="00F129EE" w:rsidP="00F129EE">
      <w:pPr>
        <w:numPr>
          <w:ilvl w:val="0"/>
          <w:numId w:val="3"/>
        </w:numPr>
      </w:pPr>
      <w:r w:rsidRPr="00E46DF4">
        <w:t>A person representing a professional body, including academic organisations</w:t>
      </w:r>
    </w:p>
    <w:p w14:paraId="44519CA4" w14:textId="77777777" w:rsidR="00F129EE" w:rsidRDefault="00F129EE" w:rsidP="00F129EE">
      <w:pPr>
        <w:numPr>
          <w:ilvl w:val="0"/>
          <w:numId w:val="3"/>
        </w:numPr>
      </w:pPr>
      <w:r w:rsidRPr="00E46DF4">
        <w:t>A person representing a licensing authority or other regulator</w:t>
      </w:r>
    </w:p>
    <w:p w14:paraId="16EB910B" w14:textId="4E0D6754" w:rsidR="00AE3B9F" w:rsidRPr="00E46DF4" w:rsidRDefault="00AE3B9F" w:rsidP="00F129EE">
      <w:pPr>
        <w:numPr>
          <w:ilvl w:val="0"/>
          <w:numId w:val="3"/>
        </w:numPr>
      </w:pPr>
      <w:r>
        <w:t>A person with lived experience of gambling harm.</w:t>
      </w:r>
    </w:p>
    <w:p w14:paraId="4B7C8E10" w14:textId="77777777" w:rsidR="00F129EE" w:rsidRPr="00E46DF4" w:rsidRDefault="00F129EE" w:rsidP="00F129EE">
      <w:pPr>
        <w:rPr>
          <w:b/>
          <w:bCs/>
        </w:rPr>
      </w:pPr>
      <w:r w:rsidRPr="00E46DF4">
        <w:rPr>
          <w:b/>
          <w:bCs/>
        </w:rPr>
        <w:lastRenderedPageBreak/>
        <w:t>Background</w:t>
      </w:r>
    </w:p>
    <w:p w14:paraId="5FFE3500" w14:textId="35069190" w:rsidR="008F42F3" w:rsidRDefault="00943282" w:rsidP="00C43827">
      <w:pPr>
        <w:spacing w:after="0" w:line="240" w:lineRule="auto"/>
        <w:rPr>
          <w:rFonts w:eastAsiaTheme="majorEastAsia" w:cs="Arial"/>
        </w:rPr>
      </w:pPr>
      <w:r>
        <w:rPr>
          <w:rFonts w:eastAsiaTheme="majorEastAsia" w:cs="Arial"/>
        </w:rPr>
        <w:t>One form of enforcement action which can be taken by the Commission is the application of</w:t>
      </w:r>
      <w:r w:rsidR="008F42F3">
        <w:rPr>
          <w:rFonts w:eastAsiaTheme="majorEastAsia" w:cs="Arial"/>
        </w:rPr>
        <w:t xml:space="preserve"> financial penalties, which are paid to the Consolidated Fund. </w:t>
      </w:r>
      <w:r w:rsidR="00D72829">
        <w:rPr>
          <w:rFonts w:eastAsiaTheme="majorEastAsia" w:cs="Arial"/>
        </w:rPr>
        <w:t>Regulatory</w:t>
      </w:r>
      <w:r w:rsidR="008F42F3">
        <w:rPr>
          <w:rFonts w:eastAsiaTheme="majorEastAsia" w:cs="Arial"/>
        </w:rPr>
        <w:t xml:space="preserve"> settlements are </w:t>
      </w:r>
      <w:r w:rsidR="00D72829">
        <w:rPr>
          <w:rFonts w:eastAsiaTheme="majorEastAsia" w:cs="Arial"/>
        </w:rPr>
        <w:t>a</w:t>
      </w:r>
      <w:r>
        <w:rPr>
          <w:rFonts w:eastAsiaTheme="majorEastAsia" w:cs="Arial"/>
        </w:rPr>
        <w:t>n alternative</w:t>
      </w:r>
      <w:r w:rsidR="00D72829">
        <w:rPr>
          <w:rFonts w:eastAsiaTheme="majorEastAsia" w:cs="Arial"/>
        </w:rPr>
        <w:t xml:space="preserve"> form of enforcement </w:t>
      </w:r>
      <w:r>
        <w:rPr>
          <w:rFonts w:eastAsiaTheme="majorEastAsia" w:cs="Arial"/>
        </w:rPr>
        <w:t xml:space="preserve">action </w:t>
      </w:r>
      <w:r w:rsidR="00D72829">
        <w:rPr>
          <w:rFonts w:eastAsiaTheme="majorEastAsia" w:cs="Arial"/>
        </w:rPr>
        <w:t>which may involve payments in lieu of a financial penalt</w:t>
      </w:r>
      <w:r>
        <w:rPr>
          <w:rFonts w:eastAsiaTheme="majorEastAsia" w:cs="Arial"/>
        </w:rPr>
        <w:t>y</w:t>
      </w:r>
      <w:r w:rsidR="00D72829">
        <w:rPr>
          <w:rFonts w:eastAsiaTheme="majorEastAsia" w:cs="Arial"/>
        </w:rPr>
        <w:t xml:space="preserve"> and these regulatory settlement amounts currently follow a different </w:t>
      </w:r>
      <w:r w:rsidR="007E0F11">
        <w:rPr>
          <w:rFonts w:eastAsiaTheme="majorEastAsia" w:cs="Arial"/>
        </w:rPr>
        <w:t>process</w:t>
      </w:r>
      <w:r w:rsidR="00D72829">
        <w:rPr>
          <w:rFonts w:eastAsiaTheme="majorEastAsia" w:cs="Arial"/>
        </w:rPr>
        <w:t xml:space="preserve"> which was developed before the introduction of a statutory levy system for </w:t>
      </w:r>
      <w:r>
        <w:rPr>
          <w:rFonts w:eastAsiaTheme="majorEastAsia" w:cs="Arial"/>
        </w:rPr>
        <w:t xml:space="preserve">research, prevention and treatment. </w:t>
      </w:r>
      <w:r w:rsidR="00D72829">
        <w:rPr>
          <w:rFonts w:eastAsiaTheme="majorEastAsia" w:cs="Arial"/>
        </w:rPr>
        <w:t xml:space="preserve"> </w:t>
      </w:r>
    </w:p>
    <w:p w14:paraId="4E5A7DC8" w14:textId="77777777" w:rsidR="008F42F3" w:rsidRDefault="008F42F3" w:rsidP="00C43827">
      <w:pPr>
        <w:spacing w:after="0" w:line="240" w:lineRule="auto"/>
        <w:rPr>
          <w:rFonts w:eastAsiaTheme="majorEastAsia" w:cs="Arial"/>
        </w:rPr>
      </w:pPr>
    </w:p>
    <w:p w14:paraId="2A79D035" w14:textId="4A465098" w:rsidR="00936C25" w:rsidRPr="00936C25" w:rsidRDefault="00C43827" w:rsidP="00936C25">
      <w:pPr>
        <w:spacing w:after="0" w:line="240" w:lineRule="auto"/>
        <w:rPr>
          <w:rFonts w:cs="Arial"/>
          <w:b/>
          <w:bCs/>
        </w:rPr>
      </w:pPr>
      <w:r w:rsidRPr="00772C49">
        <w:rPr>
          <w:rFonts w:eastAsiaTheme="majorEastAsia" w:cs="Arial"/>
        </w:rPr>
        <w:t>Regulatory settlements includ</w:t>
      </w:r>
      <w:r w:rsidR="00710712">
        <w:rPr>
          <w:rFonts w:eastAsiaTheme="majorEastAsia" w:cs="Arial"/>
        </w:rPr>
        <w:t>ing those that involve</w:t>
      </w:r>
      <w:r w:rsidRPr="00772C49">
        <w:rPr>
          <w:rFonts w:eastAsiaTheme="majorEastAsia" w:cs="Arial"/>
        </w:rPr>
        <w:t xml:space="preserve"> a financial amount in lieu of a financial penalty are an important option in the Commission’s regulatory toolkit. </w:t>
      </w:r>
      <w:r w:rsidRPr="00772C49">
        <w:rPr>
          <w:rFonts w:cs="Arial"/>
        </w:rPr>
        <w:t xml:space="preserve">They may be considered when a licensee is, among other things, open and transparent, able to make timely disclosures of material facts, able to demonstrate that they have insight into apparent failings and are able to suggest actions that would prevent the need for formal action. Regulatory settlements can allow the Commission to </w:t>
      </w:r>
      <w:r w:rsidR="00C40988">
        <w:rPr>
          <w:rFonts w:cs="Arial"/>
        </w:rPr>
        <w:t>reach an appropriate regulatory outcome without the need for</w:t>
      </w:r>
      <w:r w:rsidRPr="00772C49">
        <w:rPr>
          <w:rFonts w:cs="Arial"/>
        </w:rPr>
        <w:t xml:space="preserve"> a formal licence review or to conclude such a review more quickly bringing a swifter resolution</w:t>
      </w:r>
      <w:r w:rsidR="00A737A5">
        <w:rPr>
          <w:rFonts w:cs="Arial"/>
        </w:rPr>
        <w:t xml:space="preserve"> which can ultimately benefit consumers</w:t>
      </w:r>
      <w:r w:rsidRPr="00772C49">
        <w:rPr>
          <w:rFonts w:cs="Arial"/>
        </w:rPr>
        <w:t xml:space="preserve">. </w:t>
      </w:r>
      <w:r w:rsidR="00324D22">
        <w:rPr>
          <w:rFonts w:cs="Arial"/>
        </w:rPr>
        <w:t xml:space="preserve">The </w:t>
      </w:r>
      <w:r w:rsidR="00126737">
        <w:rPr>
          <w:rFonts w:cs="Arial"/>
        </w:rPr>
        <w:t xml:space="preserve">Commission’s </w:t>
      </w:r>
      <w:r w:rsidR="00324D22">
        <w:rPr>
          <w:rFonts w:cs="Arial"/>
        </w:rPr>
        <w:t xml:space="preserve">criteria </w:t>
      </w:r>
      <w:r w:rsidR="00E307A6">
        <w:rPr>
          <w:rFonts w:cs="Arial"/>
        </w:rPr>
        <w:t xml:space="preserve">for considering a </w:t>
      </w:r>
      <w:r w:rsidR="00126737">
        <w:rPr>
          <w:rFonts w:cs="Arial"/>
        </w:rPr>
        <w:t>r</w:t>
      </w:r>
      <w:r w:rsidR="00E307A6">
        <w:rPr>
          <w:rFonts w:cs="Arial"/>
        </w:rPr>
        <w:t xml:space="preserve">egulatory </w:t>
      </w:r>
      <w:r w:rsidR="00126737">
        <w:rPr>
          <w:rFonts w:cs="Arial"/>
        </w:rPr>
        <w:t>s</w:t>
      </w:r>
      <w:r w:rsidR="00E307A6">
        <w:rPr>
          <w:rFonts w:cs="Arial"/>
        </w:rPr>
        <w:t xml:space="preserve">ettlement is set out </w:t>
      </w:r>
      <w:r w:rsidR="00126737">
        <w:rPr>
          <w:rFonts w:cs="Arial"/>
        </w:rPr>
        <w:t xml:space="preserve">in </w:t>
      </w:r>
      <w:hyperlink r:id="rId22" w:history="1">
        <w:r w:rsidR="00126737" w:rsidRPr="001E6C05">
          <w:rPr>
            <w:rStyle w:val="Hyperlink"/>
            <w:rFonts w:cs="Arial"/>
          </w:rPr>
          <w:t xml:space="preserve">section 5 of </w:t>
        </w:r>
        <w:r w:rsidR="00936C25" w:rsidRPr="001E6C05">
          <w:rPr>
            <w:rStyle w:val="Hyperlink"/>
            <w:rFonts w:cs="Arial"/>
          </w:rPr>
          <w:t>our</w:t>
        </w:r>
        <w:r w:rsidR="00E307A6" w:rsidRPr="001E6C05">
          <w:rPr>
            <w:rStyle w:val="Hyperlink"/>
            <w:rFonts w:cs="Arial"/>
          </w:rPr>
          <w:t xml:space="preserve"> </w:t>
        </w:r>
        <w:r w:rsidR="00936C25" w:rsidRPr="001E6C05">
          <w:rPr>
            <w:rStyle w:val="Hyperlink"/>
            <w:rFonts w:cs="Arial"/>
          </w:rPr>
          <w:t>Licensing, Compliance and Enforcement Policy Statement</w:t>
        </w:r>
      </w:hyperlink>
      <w:r w:rsidR="00936C25">
        <w:rPr>
          <w:rFonts w:cs="Arial"/>
        </w:rPr>
        <w:t xml:space="preserve"> (opens in new tab).</w:t>
      </w:r>
    </w:p>
    <w:p w14:paraId="37B9D661" w14:textId="77777777" w:rsidR="00B4623C" w:rsidRDefault="00B4623C" w:rsidP="00C43827">
      <w:pPr>
        <w:spacing w:after="0" w:line="240" w:lineRule="auto"/>
        <w:rPr>
          <w:rFonts w:cs="Arial"/>
        </w:rPr>
      </w:pPr>
    </w:p>
    <w:p w14:paraId="53866F2A" w14:textId="48756F3D" w:rsidR="00B4623C" w:rsidRPr="00772C49" w:rsidRDefault="00B4623C" w:rsidP="00C43827">
      <w:pPr>
        <w:spacing w:after="0" w:line="240" w:lineRule="auto"/>
        <w:rPr>
          <w:rFonts w:cs="Arial"/>
        </w:rPr>
      </w:pPr>
      <w:r>
        <w:rPr>
          <w:rFonts w:cs="Arial"/>
        </w:rPr>
        <w:t xml:space="preserve">However, regulatory settlements were never intended </w:t>
      </w:r>
      <w:r w:rsidR="00C222CF">
        <w:rPr>
          <w:rFonts w:cs="Arial"/>
        </w:rPr>
        <w:t xml:space="preserve">to be </w:t>
      </w:r>
      <w:r>
        <w:rPr>
          <w:rFonts w:cs="Arial"/>
        </w:rPr>
        <w:t xml:space="preserve">and should never have been seen as part of the core funding for gambling research, prevention or treatment.  </w:t>
      </w:r>
    </w:p>
    <w:p w14:paraId="63ACC5D6" w14:textId="77777777" w:rsidR="00C43827" w:rsidRPr="00772C49" w:rsidRDefault="00C43827" w:rsidP="00E46DF4">
      <w:pPr>
        <w:spacing w:after="0" w:line="240" w:lineRule="auto"/>
        <w:rPr>
          <w:rFonts w:eastAsiaTheme="majorEastAsia" w:cs="Arial"/>
        </w:rPr>
      </w:pPr>
    </w:p>
    <w:p w14:paraId="7798AE0E" w14:textId="316FEE28" w:rsidR="00E952F1" w:rsidRPr="00772C49" w:rsidRDefault="00E952F1" w:rsidP="00E46DF4">
      <w:pPr>
        <w:spacing w:after="0" w:line="240" w:lineRule="auto"/>
        <w:rPr>
          <w:rFonts w:eastAsiaTheme="majorEastAsia" w:cs="Arial"/>
        </w:rPr>
      </w:pPr>
      <w:r w:rsidRPr="00772C49">
        <w:rPr>
          <w:rFonts w:eastAsiaTheme="majorEastAsia" w:cs="Arial"/>
        </w:rPr>
        <w:t xml:space="preserve">When </w:t>
      </w:r>
      <w:r w:rsidR="00091B14">
        <w:rPr>
          <w:rFonts w:eastAsiaTheme="majorEastAsia" w:cs="Arial"/>
        </w:rPr>
        <w:t>Government</w:t>
      </w:r>
      <w:r w:rsidRPr="00772C49">
        <w:rPr>
          <w:rFonts w:eastAsiaTheme="majorEastAsia" w:cs="Arial"/>
        </w:rPr>
        <w:t xml:space="preserve"> announced in the 2023 </w:t>
      </w:r>
      <w:hyperlink r:id="rId23" w:tgtFrame="_blank" w:history="1">
        <w:r w:rsidR="0069434C" w:rsidRPr="00772C49">
          <w:rPr>
            <w:rStyle w:val="Hyperlink"/>
            <w:color w:val="auto"/>
          </w:rPr>
          <w:t>White Paper</w:t>
        </w:r>
        <w:r w:rsidR="00F6679A">
          <w:rPr>
            <w:rStyle w:val="Hyperlink"/>
            <w:color w:val="auto"/>
          </w:rPr>
          <w:t>,</w:t>
        </w:r>
        <w:r w:rsidR="0069434C" w:rsidRPr="00772C49">
          <w:rPr>
            <w:rStyle w:val="Hyperlink"/>
            <w:color w:val="auto"/>
          </w:rPr>
          <w:t xml:space="preserve"> High Stakes: gambling reform for the digital age (opens in new tab)</w:t>
        </w:r>
      </w:hyperlink>
      <w:r w:rsidR="0069434C" w:rsidRPr="00772C49">
        <w:t xml:space="preserve"> </w:t>
      </w:r>
      <w:r w:rsidRPr="00772C49">
        <w:rPr>
          <w:rFonts w:eastAsiaTheme="majorEastAsia" w:cs="Arial"/>
        </w:rPr>
        <w:t>that it would be introducing a statutory levy, the Commission committed to considering what impact the levy might have on the destination of any future regulatory settlements</w:t>
      </w:r>
      <w:r w:rsidR="00F45E62">
        <w:rPr>
          <w:rFonts w:eastAsiaTheme="majorEastAsia" w:cs="Arial"/>
        </w:rPr>
        <w:t xml:space="preserve"> once the detail of the new levy system wa</w:t>
      </w:r>
      <w:r w:rsidR="00887329">
        <w:rPr>
          <w:rFonts w:eastAsiaTheme="majorEastAsia" w:cs="Arial"/>
        </w:rPr>
        <w:t>s in place</w:t>
      </w:r>
      <w:r w:rsidR="00445119">
        <w:rPr>
          <w:rFonts w:eastAsiaTheme="majorEastAsia" w:cs="Arial"/>
        </w:rPr>
        <w:t>,</w:t>
      </w:r>
      <w:r w:rsidR="00887329">
        <w:rPr>
          <w:rFonts w:eastAsiaTheme="majorEastAsia" w:cs="Arial"/>
        </w:rPr>
        <w:t xml:space="preserve"> a</w:t>
      </w:r>
      <w:r w:rsidR="007405BC">
        <w:rPr>
          <w:rFonts w:eastAsiaTheme="majorEastAsia" w:cs="Arial"/>
        </w:rPr>
        <w:t xml:space="preserve">s well as whether </w:t>
      </w:r>
      <w:proofErr w:type="spellStart"/>
      <w:r w:rsidR="007405BC">
        <w:rPr>
          <w:rFonts w:eastAsiaTheme="majorEastAsia" w:cs="Arial"/>
        </w:rPr>
        <w:t>GambleAware</w:t>
      </w:r>
      <w:proofErr w:type="spellEnd"/>
      <w:r w:rsidR="007405BC">
        <w:rPr>
          <w:rFonts w:eastAsiaTheme="majorEastAsia" w:cs="Arial"/>
        </w:rPr>
        <w:t xml:space="preserve"> would </w:t>
      </w:r>
      <w:r w:rsidR="00A017E5">
        <w:rPr>
          <w:rFonts w:eastAsiaTheme="majorEastAsia" w:cs="Arial"/>
        </w:rPr>
        <w:t xml:space="preserve">continue to have a role in grant-making. We committed to exploring all options, including </w:t>
      </w:r>
      <w:r w:rsidR="00C222CF">
        <w:rPr>
          <w:rFonts w:eastAsiaTheme="majorEastAsia" w:cs="Arial"/>
        </w:rPr>
        <w:t xml:space="preserve">the </w:t>
      </w:r>
      <w:r w:rsidR="00C222CF" w:rsidRPr="00772C49">
        <w:rPr>
          <w:rFonts w:eastAsiaTheme="majorEastAsia" w:cs="Arial"/>
        </w:rPr>
        <w:t>extent</w:t>
      </w:r>
      <w:r w:rsidRPr="00772C49">
        <w:rPr>
          <w:rFonts w:eastAsiaTheme="majorEastAsia" w:cs="Arial"/>
        </w:rPr>
        <w:t xml:space="preserve"> to which it might be possible to mirror any arrangements which came into place for </w:t>
      </w:r>
      <w:r w:rsidR="0069434C" w:rsidRPr="00772C49">
        <w:rPr>
          <w:rFonts w:eastAsiaTheme="majorEastAsia" w:cs="Arial"/>
        </w:rPr>
        <w:t>the</w:t>
      </w:r>
      <w:r w:rsidRPr="00772C49">
        <w:rPr>
          <w:rFonts w:eastAsiaTheme="majorEastAsia" w:cs="Arial"/>
        </w:rPr>
        <w:t xml:space="preserve"> levy.</w:t>
      </w:r>
    </w:p>
    <w:p w14:paraId="28021466" w14:textId="77777777" w:rsidR="00AB36A0" w:rsidRDefault="00AB36A0" w:rsidP="00AB36A0">
      <w:pPr>
        <w:spacing w:after="0" w:line="240" w:lineRule="auto"/>
        <w:rPr>
          <w:rFonts w:eastAsiaTheme="majorEastAsia" w:cs="Arial"/>
        </w:rPr>
      </w:pPr>
    </w:p>
    <w:p w14:paraId="70022CA7" w14:textId="57A1B61E" w:rsidR="00AB36A0" w:rsidRPr="00772C49" w:rsidRDefault="00AB36A0" w:rsidP="00AB36A0">
      <w:pPr>
        <w:spacing w:after="0" w:line="240" w:lineRule="auto"/>
        <w:rPr>
          <w:rFonts w:cs="Arial"/>
          <w14:textOutline w14:w="9525" w14:cap="rnd" w14:cmpd="sng" w14:algn="ctr">
            <w14:noFill/>
            <w14:prstDash w14:val="solid"/>
            <w14:bevel/>
          </w14:textOutline>
        </w:rPr>
      </w:pPr>
      <w:r w:rsidRPr="00772C49">
        <w:rPr>
          <w:rFonts w:cs="Arial"/>
          <w14:textOutline w14:w="9525" w14:cap="rnd" w14:cmpd="sng" w14:algn="ctr">
            <w14:noFill/>
            <w14:prstDash w14:val="solid"/>
            <w14:bevel/>
          </w14:textOutline>
        </w:rPr>
        <w:t xml:space="preserve">We have been clear that any replacement of the current </w:t>
      </w:r>
      <w:r>
        <w:rPr>
          <w:rFonts w:cs="Arial"/>
          <w14:textOutline w14:w="9525" w14:cap="rnd" w14:cmpd="sng" w14:algn="ctr">
            <w14:noFill/>
            <w14:prstDash w14:val="solid"/>
            <w14:bevel/>
          </w14:textOutline>
        </w:rPr>
        <w:t xml:space="preserve">default </w:t>
      </w:r>
      <w:r w:rsidRPr="00772C49">
        <w:rPr>
          <w:rFonts w:cs="Arial"/>
          <w14:textOutline w14:w="9525" w14:cap="rnd" w14:cmpd="sng" w14:algn="ctr">
            <w14:noFill/>
            <w14:prstDash w14:val="solid"/>
            <w14:bevel/>
          </w14:textOutline>
        </w:rPr>
        <w:t>destination for regulatory settlements must ensure that a central body is responsible for making decisions on the use of funds (whether for gambling or other purposes), and that effective commissioning and evaluation and alignment with the</w:t>
      </w:r>
      <w:r w:rsidR="00B909ED">
        <w:rPr>
          <w:rFonts w:cs="Arial"/>
          <w14:textOutline w14:w="9525" w14:cap="rnd" w14:cmpd="sng" w14:algn="ctr">
            <w14:noFill/>
            <w14:prstDash w14:val="solid"/>
            <w14:bevel/>
          </w14:textOutline>
        </w:rPr>
        <w:t xml:space="preserve"> new</w:t>
      </w:r>
      <w:r w:rsidRPr="00772C49">
        <w:rPr>
          <w:rFonts w:cs="Arial"/>
          <w14:textOutline w14:w="9525" w14:cap="rnd" w14:cmpd="sng" w14:algn="ctr">
            <w14:noFill/>
            <w14:prstDash w14:val="solid"/>
            <w14:bevel/>
          </w14:textOutline>
        </w:rPr>
        <w:t xml:space="preserve"> levy system is in place. This is beyond the Commission’s </w:t>
      </w:r>
      <w:r>
        <w:rPr>
          <w:rFonts w:cs="Arial"/>
          <w14:textOutline w14:w="9525" w14:cap="rnd" w14:cmpd="sng" w14:algn="ctr">
            <w14:noFill/>
            <w14:prstDash w14:val="solid"/>
            <w14:bevel/>
          </w14:textOutline>
        </w:rPr>
        <w:t xml:space="preserve">regulatory </w:t>
      </w:r>
      <w:r w:rsidRPr="00772C49">
        <w:rPr>
          <w:rFonts w:cs="Arial"/>
          <w14:textOutline w14:w="9525" w14:cap="rnd" w14:cmpd="sng" w14:algn="ctr">
            <w14:noFill/>
            <w14:prstDash w14:val="solid"/>
            <w14:bevel/>
          </w14:textOutline>
        </w:rPr>
        <w:t xml:space="preserve">role and is the role of </w:t>
      </w:r>
      <w:r w:rsidR="00091B14">
        <w:rPr>
          <w:rFonts w:cs="Arial"/>
          <w14:textOutline w14:w="9525" w14:cap="rnd" w14:cmpd="sng" w14:algn="ctr">
            <w14:noFill/>
            <w14:prstDash w14:val="solid"/>
            <w14:bevel/>
          </w14:textOutline>
        </w:rPr>
        <w:t>Government</w:t>
      </w:r>
      <w:r w:rsidRPr="00772C49">
        <w:rPr>
          <w:rFonts w:cs="Arial"/>
          <w14:textOutline w14:w="9525" w14:cap="rnd" w14:cmpd="sng" w14:algn="ctr">
            <w14:noFill/>
            <w14:prstDash w14:val="solid"/>
            <w14:bevel/>
          </w14:textOutline>
        </w:rPr>
        <w:t xml:space="preserve"> and the levy</w:t>
      </w:r>
      <w:r w:rsidR="008213EC">
        <w:rPr>
          <w:rFonts w:cs="Arial"/>
          <w14:textOutline w14:w="9525" w14:cap="rnd" w14:cmpd="sng" w14:algn="ctr">
            <w14:noFill/>
            <w14:prstDash w14:val="solid"/>
            <w14:bevel/>
          </w14:textOutline>
        </w:rPr>
        <w:t>’s commissioning</w:t>
      </w:r>
      <w:r w:rsidRPr="00772C49">
        <w:rPr>
          <w:rFonts w:cs="Arial"/>
          <w14:textOutline w14:w="9525" w14:cap="rnd" w14:cmpd="sng" w14:algn="ctr">
            <w14:noFill/>
            <w14:prstDash w14:val="solid"/>
            <w14:bevel/>
          </w14:textOutline>
        </w:rPr>
        <w:t xml:space="preserve"> bodies. </w:t>
      </w:r>
    </w:p>
    <w:p w14:paraId="375A3657" w14:textId="77777777" w:rsidR="00E952F1" w:rsidRPr="00772C49" w:rsidRDefault="00E952F1" w:rsidP="00E952F1">
      <w:pPr>
        <w:spacing w:after="0" w:line="240" w:lineRule="auto"/>
        <w:rPr>
          <w:rFonts w:eastAsiaTheme="majorEastAsia" w:cs="Arial"/>
        </w:rPr>
      </w:pPr>
    </w:p>
    <w:p w14:paraId="35CEB288" w14:textId="681DFCA9" w:rsidR="0080704E" w:rsidRPr="00772C49" w:rsidRDefault="0038338B" w:rsidP="00D63974">
      <w:pPr>
        <w:spacing w:after="0" w:line="240" w:lineRule="auto"/>
        <w:rPr>
          <w:rFonts w:cs="Arial"/>
          <w14:textOutline w14:w="9525" w14:cap="rnd" w14:cmpd="sng" w14:algn="ctr">
            <w14:noFill/>
            <w14:prstDash w14:val="solid"/>
            <w14:bevel/>
          </w14:textOutline>
        </w:rPr>
      </w:pPr>
      <w:r w:rsidRPr="00772C49">
        <w:rPr>
          <w:rFonts w:cs="Arial"/>
          <w14:textOutline w14:w="9525" w14:cap="rnd" w14:cmpd="sng" w14:algn="ctr">
            <w14:noFill/>
            <w14:prstDash w14:val="solid"/>
            <w14:bevel/>
          </w14:textOutline>
        </w:rPr>
        <w:t xml:space="preserve">Our </w:t>
      </w:r>
      <w:hyperlink r:id="rId24" w:history="1">
        <w:r w:rsidRPr="00772C49">
          <w:rPr>
            <w:rStyle w:val="Hyperlink"/>
            <w:color w:val="auto"/>
          </w:rPr>
          <w:t>Statement of principles for determining financial penalties (opens in a new tab)</w:t>
        </w:r>
      </w:hyperlink>
      <w:r w:rsidRPr="00772C49">
        <w:rPr>
          <w:rFonts w:cs="Arial"/>
          <w14:textOutline w14:w="9525" w14:cap="rnd" w14:cmpd="sng" w14:algn="ctr">
            <w14:noFill/>
            <w14:prstDash w14:val="solid"/>
            <w14:bevel/>
          </w14:textOutline>
        </w:rPr>
        <w:t> </w:t>
      </w:r>
      <w:r w:rsidR="000021AB">
        <w:rPr>
          <w:rFonts w:cs="Arial"/>
          <w14:textOutline w14:w="9525" w14:cap="rnd" w14:cmpd="sng" w14:algn="ctr">
            <w14:noFill/>
            <w14:prstDash w14:val="solid"/>
            <w14:bevel/>
          </w14:textOutline>
        </w:rPr>
        <w:t>sets out that</w:t>
      </w:r>
      <w:r w:rsidRPr="00772C49">
        <w:rPr>
          <w:rFonts w:cs="Arial"/>
          <w14:textOutline w14:w="9525" w14:cap="rnd" w14:cmpd="sng" w14:algn="ctr">
            <w14:noFill/>
            <w14:prstDash w14:val="solid"/>
            <w14:bevel/>
          </w14:textOutline>
        </w:rPr>
        <w:t xml:space="preserve"> payments made in lieu of a financial penalty as part of a regulatory settlement do not need to be paid into the </w:t>
      </w:r>
      <w:r w:rsidR="0090020A">
        <w:rPr>
          <w:rFonts w:cs="Arial"/>
          <w14:textOutline w14:w="9525" w14:cap="rnd" w14:cmpd="sng" w14:algn="ctr">
            <w14:noFill/>
            <w14:prstDash w14:val="solid"/>
            <w14:bevel/>
          </w14:textOutline>
        </w:rPr>
        <w:t>C</w:t>
      </w:r>
      <w:r w:rsidRPr="00772C49">
        <w:rPr>
          <w:rFonts w:cs="Arial"/>
          <w14:textOutline w14:w="9525" w14:cap="rnd" w14:cmpd="sng" w14:algn="ctr">
            <w14:noFill/>
            <w14:prstDash w14:val="solid"/>
            <w14:bevel/>
          </w14:textOutline>
        </w:rPr>
        <w:t>onsolidated </w:t>
      </w:r>
      <w:r w:rsidR="0090020A">
        <w:rPr>
          <w:rFonts w:cs="Arial"/>
          <w14:textOutline w14:w="9525" w14:cap="rnd" w14:cmpd="sng" w14:algn="ctr">
            <w14:noFill/>
            <w14:prstDash w14:val="solid"/>
            <w14:bevel/>
          </w14:textOutline>
        </w:rPr>
        <w:t>F</w:t>
      </w:r>
      <w:r w:rsidRPr="00772C49">
        <w:rPr>
          <w:rFonts w:cs="Arial"/>
          <w14:textOutline w14:w="9525" w14:cap="rnd" w14:cmpd="sng" w14:algn="ctr">
            <w14:noFill/>
            <w14:prstDash w14:val="solid"/>
            <w14:bevel/>
          </w14:textOutline>
        </w:rPr>
        <w:t>und </w:t>
      </w:r>
      <w:r w:rsidR="00F10787" w:rsidRPr="00772C49">
        <w:rPr>
          <w:rFonts w:cs="Arial"/>
          <w14:textOutline w14:w="9525" w14:cap="rnd" w14:cmpd="sng" w14:algn="ctr">
            <w14:noFill/>
            <w14:prstDash w14:val="solid"/>
            <w14:bevel/>
          </w14:textOutline>
        </w:rPr>
        <w:t xml:space="preserve">in the same way that financial penalties imposed under </w:t>
      </w:r>
      <w:hyperlink r:id="rId25" w:history="1">
        <w:r w:rsidR="00F10787" w:rsidRPr="00A63B4A">
          <w:rPr>
            <w:rStyle w:val="Hyperlink"/>
            <w:rFonts w:cs="Arial"/>
            <w14:textOutline w14:w="9525" w14:cap="rnd" w14:cmpd="sng" w14:algn="ctr">
              <w14:noFill/>
              <w14:prstDash w14:val="solid"/>
              <w14:bevel/>
            </w14:textOutline>
          </w:rPr>
          <w:t>section 121 of the Act do</w:t>
        </w:r>
      </w:hyperlink>
      <w:r w:rsidR="00A63B4A">
        <w:rPr>
          <w:rFonts w:cs="Arial"/>
          <w14:textOutline w14:w="9525" w14:cap="rnd" w14:cmpd="sng" w14:algn="ctr">
            <w14:noFill/>
            <w14:prstDash w14:val="solid"/>
            <w14:bevel/>
          </w14:textOutline>
        </w:rPr>
        <w:t xml:space="preserve"> (opens in a new tab)</w:t>
      </w:r>
      <w:r w:rsidR="00105632" w:rsidRPr="00772C49">
        <w:rPr>
          <w:rFonts w:cs="Arial"/>
          <w14:textOutline w14:w="9525" w14:cap="rnd" w14:cmpd="sng" w14:algn="ctr">
            <w14:noFill/>
            <w14:prstDash w14:val="solid"/>
            <w14:bevel/>
          </w14:textOutline>
        </w:rPr>
        <w:t xml:space="preserve">. Instead, the </w:t>
      </w:r>
      <w:r w:rsidR="000021AB">
        <w:rPr>
          <w:rFonts w:cs="Arial"/>
          <w14:textOutline w14:w="9525" w14:cap="rnd" w14:cmpd="sng" w14:algn="ctr">
            <w14:noFill/>
            <w14:prstDash w14:val="solid"/>
            <w14:bevel/>
          </w14:textOutline>
        </w:rPr>
        <w:t xml:space="preserve">Statement sets out that the </w:t>
      </w:r>
      <w:r w:rsidR="007724CF" w:rsidRPr="00772C49">
        <w:rPr>
          <w:rFonts w:cs="Arial"/>
          <w14:textOutline w14:w="9525" w14:cap="rnd" w14:cmpd="sng" w14:algn="ctr">
            <w14:noFill/>
            <w14:prstDash w14:val="solid"/>
            <w14:bevel/>
          </w14:textOutline>
        </w:rPr>
        <w:t xml:space="preserve">Commission </w:t>
      </w:r>
      <w:r w:rsidR="00105632" w:rsidRPr="00772C49">
        <w:rPr>
          <w:rFonts w:cs="Arial"/>
          <w14:textOutline w14:w="9525" w14:cap="rnd" w14:cmpd="sng" w14:algn="ctr">
            <w14:noFill/>
            <w14:prstDash w14:val="solid"/>
            <w14:bevel/>
          </w14:textOutline>
        </w:rPr>
        <w:t xml:space="preserve">will </w:t>
      </w:r>
      <w:r w:rsidR="000248AD">
        <w:rPr>
          <w:rFonts w:cs="Arial"/>
          <w14:textOutline w14:w="9525" w14:cap="rnd" w14:cmpd="sng" w14:algn="ctr">
            <w14:noFill/>
            <w14:prstDash w14:val="solid"/>
            <w14:bevel/>
          </w14:textOutline>
        </w:rPr>
        <w:t xml:space="preserve">currently </w:t>
      </w:r>
      <w:r w:rsidR="00105632" w:rsidRPr="00772C49">
        <w:rPr>
          <w:rFonts w:cs="Arial"/>
          <w14:textOutline w14:w="9525" w14:cap="rnd" w14:cmpd="sng" w14:algn="ctr">
            <w14:noFill/>
            <w14:prstDash w14:val="solid"/>
            <w14:bevel/>
          </w14:textOutline>
        </w:rPr>
        <w:t>apply the following principles in approaching such payments:</w:t>
      </w:r>
    </w:p>
    <w:p w14:paraId="0AA17EF1" w14:textId="77777777" w:rsidR="0080704E" w:rsidRPr="00772C49" w:rsidRDefault="0080704E" w:rsidP="00D63974">
      <w:pPr>
        <w:spacing w:after="0" w:line="240" w:lineRule="auto"/>
        <w:rPr>
          <w:rFonts w:cs="Arial"/>
          <w14:textOutline w14:w="9525" w14:cap="rnd" w14:cmpd="sng" w14:algn="ctr">
            <w14:noFill/>
            <w14:prstDash w14:val="solid"/>
            <w14:bevel/>
          </w14:textOutline>
        </w:rPr>
      </w:pPr>
    </w:p>
    <w:p w14:paraId="2D52333E"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the Commission reserves the power to approve the destination of monies paid as part of a regulatory settlement</w:t>
      </w:r>
    </w:p>
    <w:p w14:paraId="45849A47"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lastRenderedPageBreak/>
        <w:t>licensees must not generate positive publicity from the regulatory settlement</w:t>
      </w:r>
    </w:p>
    <w:p w14:paraId="0B1F7DF2"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payments need to be demonstrably over and above 'normal' Research, Education and Treatment (RET) contributions, or any levy amounts due under Section 123 of the Act</w:t>
      </w:r>
    </w:p>
    <w:p w14:paraId="522F72D2"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where practicable, the operator should return money to any identified victims</w:t>
      </w:r>
    </w:p>
    <w:p w14:paraId="0154CE31"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if victims cannot be identified or there are no victims, the monies should be given to charity for socially responsible purposes</w:t>
      </w:r>
    </w:p>
    <w:p w14:paraId="2D76D07E"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socially responsible purposes would include purposes which address gambling related harm or in some way promotes one or more of the licensing objectives</w:t>
      </w:r>
    </w:p>
    <w:p w14:paraId="42294F6F"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 xml:space="preserve">where payments are made with the aim of addressing gambling-related harm, the presumption is that the money would be paid to </w:t>
      </w:r>
      <w:proofErr w:type="spellStart"/>
      <w:r w:rsidRPr="00BB10DC">
        <w:rPr>
          <w:rFonts w:cs="Arial"/>
          <w14:textOutline w14:w="9525" w14:cap="rnd" w14:cmpd="sng" w14:algn="ctr">
            <w14:noFill/>
            <w14:prstDash w14:val="solid"/>
            <w14:bevel/>
          </w14:textOutline>
        </w:rPr>
        <w:t>GambleAware</w:t>
      </w:r>
      <w:proofErr w:type="spellEnd"/>
      <w:r w:rsidRPr="00BB10DC">
        <w:rPr>
          <w:rFonts w:cs="Arial"/>
          <w14:textOutline w14:w="9525" w14:cap="rnd" w14:cmpd="sng" w14:algn="ctr">
            <w14:noFill/>
            <w14:prstDash w14:val="solid"/>
            <w14:bevel/>
          </w14:textOutline>
        </w:rPr>
        <w:t xml:space="preserve"> to be used for specific agreed purposes that accelerate their commissioning plans</w:t>
      </w:r>
    </w:p>
    <w:p w14:paraId="45D93C9D"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licensees should have no interest in organisations who will receive divested funds</w:t>
      </w:r>
    </w:p>
    <w:p w14:paraId="39F728C1"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there should be meaningful evaluation of the effectiveness of projects or research funded by specific regulatory settlements</w:t>
      </w:r>
    </w:p>
    <w:p w14:paraId="59E34629"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research findings must be made public to help raise standards</w:t>
      </w:r>
    </w:p>
    <w:p w14:paraId="7F0768C2" w14:textId="77777777" w:rsidR="00BB10DC" w:rsidRPr="00BB10DC" w:rsidRDefault="00BB10DC" w:rsidP="00BB10DC">
      <w:pPr>
        <w:numPr>
          <w:ilvl w:val="0"/>
          <w:numId w:val="14"/>
        </w:numPr>
        <w:spacing w:after="0" w:line="240" w:lineRule="auto"/>
        <w:rPr>
          <w:rFonts w:cs="Arial"/>
          <w14:textOutline w14:w="9525" w14:cap="rnd" w14:cmpd="sng" w14:algn="ctr">
            <w14:noFill/>
            <w14:prstDash w14:val="solid"/>
            <w14:bevel/>
          </w14:textOutline>
        </w:rPr>
      </w:pPr>
      <w:r w:rsidRPr="00BB10DC">
        <w:rPr>
          <w:rFonts w:cs="Arial"/>
          <w14:textOutline w14:w="9525" w14:cap="rnd" w14:cmpd="sng" w14:algn="ctr">
            <w14:noFill/>
            <w14:prstDash w14:val="solid"/>
            <w14:bevel/>
          </w14:textOutline>
        </w:rPr>
        <w:t>clear timeframes should be set for payment of monies and for delivery of work paid for from those monies.</w:t>
      </w:r>
    </w:p>
    <w:p w14:paraId="1625E16C" w14:textId="77777777" w:rsidR="00AD55AF" w:rsidRDefault="00AD55AF" w:rsidP="00D63974">
      <w:pPr>
        <w:spacing w:after="0" w:line="240" w:lineRule="auto"/>
        <w:rPr>
          <w:rFonts w:cs="Arial"/>
          <w14:textOutline w14:w="9525" w14:cap="rnd" w14:cmpd="sng" w14:algn="ctr">
            <w14:noFill/>
            <w14:prstDash w14:val="solid"/>
            <w14:bevel/>
          </w14:textOutline>
        </w:rPr>
      </w:pPr>
    </w:p>
    <w:p w14:paraId="4D996FAA" w14:textId="1B91D306" w:rsidR="00BB10DC" w:rsidRDefault="00AD55AF" w:rsidP="00D63974">
      <w:pPr>
        <w:spacing w:after="0" w:line="240" w:lineRule="auto"/>
        <w:rPr>
          <w:rFonts w:cs="Arial"/>
          <w14:textOutline w14:w="9525" w14:cap="rnd" w14:cmpd="sng" w14:algn="ctr">
            <w14:noFill/>
            <w14:prstDash w14:val="solid"/>
            <w14:bevel/>
          </w14:textOutline>
        </w:rPr>
      </w:pPr>
      <w:r>
        <w:rPr>
          <w:rFonts w:cs="Arial"/>
          <w14:textOutline w14:w="9525" w14:cap="rnd" w14:cmpd="sng" w14:algn="ctr">
            <w14:noFill/>
            <w14:prstDash w14:val="solid"/>
            <w14:bevel/>
          </w14:textOutline>
        </w:rPr>
        <w:t xml:space="preserve">This approach set out in the </w:t>
      </w:r>
      <w:hyperlink r:id="rId26" w:history="1">
        <w:r w:rsidR="007D0D75" w:rsidRPr="00772C49">
          <w:rPr>
            <w:rStyle w:val="Hyperlink"/>
            <w:color w:val="auto"/>
          </w:rPr>
          <w:t>Statement of principles for determining financial penalties (opens in a new tab)</w:t>
        </w:r>
      </w:hyperlink>
      <w:r w:rsidR="007D0D75" w:rsidRPr="00772C49">
        <w:rPr>
          <w:rFonts w:cs="Arial"/>
          <w14:textOutline w14:w="9525" w14:cap="rnd" w14:cmpd="sng" w14:algn="ctr">
            <w14:noFill/>
            <w14:prstDash w14:val="solid"/>
            <w14:bevel/>
          </w14:textOutline>
        </w:rPr>
        <w:t> </w:t>
      </w:r>
      <w:r>
        <w:rPr>
          <w:rFonts w:cs="Arial"/>
          <w14:textOutline w14:w="9525" w14:cap="rnd" w14:cmpd="sng" w14:algn="ctr">
            <w14:noFill/>
            <w14:prstDash w14:val="solid"/>
            <w14:bevel/>
          </w14:textOutline>
        </w:rPr>
        <w:t>was considered appropriate in the absence of a</w:t>
      </w:r>
      <w:r w:rsidR="00C336EF">
        <w:rPr>
          <w:rFonts w:cs="Arial"/>
          <w14:textOutline w14:w="9525" w14:cap="rnd" w14:cmpd="sng" w14:algn="ctr">
            <w14:noFill/>
            <w14:prstDash w14:val="solid"/>
            <w14:bevel/>
          </w14:textOutline>
        </w:rPr>
        <w:t xml:space="preserve"> statutory</w:t>
      </w:r>
      <w:r>
        <w:rPr>
          <w:rFonts w:cs="Arial"/>
          <w14:textOutline w14:w="9525" w14:cap="rnd" w14:cmpd="sng" w14:algn="ctr">
            <w14:noFill/>
            <w14:prstDash w14:val="solid"/>
            <w14:bevel/>
          </w14:textOutline>
        </w:rPr>
        <w:t xml:space="preserve"> levy and </w:t>
      </w:r>
      <w:r w:rsidRPr="008E5DDE">
        <w:rPr>
          <w:rFonts w:cs="Arial"/>
          <w14:textOutline w14:w="9525" w14:cap="rnd" w14:cmpd="sng" w14:algn="ctr">
            <w14:noFill/>
            <w14:prstDash w14:val="solid"/>
            <w14:bevel/>
          </w14:textOutline>
        </w:rPr>
        <w:t>where</w:t>
      </w:r>
      <w:r>
        <w:rPr>
          <w:rFonts w:cs="Arial"/>
          <w14:textOutline w14:w="9525" w14:cap="rnd" w14:cmpd="sng" w14:algn="ctr">
            <w14:noFill/>
            <w14:prstDash w14:val="solid"/>
            <w14:bevel/>
          </w14:textOutline>
        </w:rPr>
        <w:t xml:space="preserve"> </w:t>
      </w:r>
      <w:proofErr w:type="spellStart"/>
      <w:r>
        <w:rPr>
          <w:rFonts w:cs="Arial"/>
          <w14:textOutline w14:w="9525" w14:cap="rnd" w14:cmpd="sng" w14:algn="ctr">
            <w14:noFill/>
            <w14:prstDash w14:val="solid"/>
            <w14:bevel/>
          </w14:textOutline>
        </w:rPr>
        <w:t>GambleAware</w:t>
      </w:r>
      <w:proofErr w:type="spellEnd"/>
      <w:r>
        <w:rPr>
          <w:rFonts w:cs="Arial"/>
          <w14:textOutline w14:w="9525" w14:cap="rnd" w14:cmpd="sng" w14:algn="ctr">
            <w14:noFill/>
            <w14:prstDash w14:val="solid"/>
            <w14:bevel/>
          </w14:textOutline>
        </w:rPr>
        <w:t xml:space="preserve"> was the agreed commissioner in </w:t>
      </w:r>
      <w:r w:rsidR="000720F8">
        <w:rPr>
          <w:rFonts w:cs="Arial"/>
          <w14:textOutline w14:w="9525" w14:cap="rnd" w14:cmpd="sng" w14:algn="ctr">
            <w14:noFill/>
            <w14:prstDash w14:val="solid"/>
            <w14:bevel/>
          </w14:textOutline>
        </w:rPr>
        <w:t>the absence of a statutory system</w:t>
      </w:r>
      <w:r>
        <w:rPr>
          <w:rFonts w:cs="Arial"/>
          <w14:textOutline w14:w="9525" w14:cap="rnd" w14:cmpd="sng" w14:algn="ctr">
            <w14:noFill/>
            <w14:prstDash w14:val="solid"/>
            <w14:bevel/>
          </w14:textOutline>
        </w:rPr>
        <w:t>.</w:t>
      </w:r>
    </w:p>
    <w:p w14:paraId="604D1A99" w14:textId="77777777" w:rsidR="00AD55AF" w:rsidRPr="00772C49" w:rsidRDefault="00AD55AF" w:rsidP="00D63974">
      <w:pPr>
        <w:spacing w:after="0" w:line="240" w:lineRule="auto"/>
        <w:rPr>
          <w:rFonts w:cs="Arial"/>
          <w14:textOutline w14:w="9525" w14:cap="rnd" w14:cmpd="sng" w14:algn="ctr">
            <w14:noFill/>
            <w14:prstDash w14:val="solid"/>
            <w14:bevel/>
          </w14:textOutline>
        </w:rPr>
      </w:pPr>
    </w:p>
    <w:p w14:paraId="5B1CBBB2" w14:textId="5DD37692" w:rsidR="00D63974" w:rsidRPr="00772C49" w:rsidRDefault="00B703A6" w:rsidP="00D63974">
      <w:pPr>
        <w:spacing w:after="0" w:line="240" w:lineRule="auto"/>
        <w:rPr>
          <w:rFonts w:cs="Arial"/>
          <w14:textOutline w14:w="9525" w14:cap="rnd" w14:cmpd="sng" w14:algn="ctr">
            <w14:noFill/>
            <w14:prstDash w14:val="solid"/>
            <w14:bevel/>
          </w14:textOutline>
        </w:rPr>
      </w:pPr>
      <w:proofErr w:type="spellStart"/>
      <w:r w:rsidRPr="00772C49">
        <w:rPr>
          <w:rFonts w:cs="Arial"/>
          <w14:textOutline w14:w="9525" w14:cap="rnd" w14:cmpd="sng" w14:algn="ctr">
            <w14:noFill/>
            <w14:prstDash w14:val="solid"/>
            <w14:bevel/>
          </w14:textOutline>
        </w:rPr>
        <w:t>GambleAware</w:t>
      </w:r>
      <w:proofErr w:type="spellEnd"/>
      <w:r w:rsidRPr="64EF647C">
        <w:rPr>
          <w:rFonts w:cs="Arial"/>
        </w:rPr>
        <w:t xml:space="preserve"> </w:t>
      </w:r>
      <w:r w:rsidR="000248AD" w:rsidRPr="64EF647C">
        <w:rPr>
          <w:rFonts w:cs="Arial"/>
        </w:rPr>
        <w:t>ha</w:t>
      </w:r>
      <w:r w:rsidR="000248AD">
        <w:rPr>
          <w:rFonts w:cs="Arial"/>
        </w:rPr>
        <w:t>s</w:t>
      </w:r>
      <w:r w:rsidR="000248AD" w:rsidRPr="64EF647C">
        <w:rPr>
          <w:rFonts w:cs="Arial"/>
        </w:rPr>
        <w:t xml:space="preserve"> </w:t>
      </w:r>
      <w:r w:rsidRPr="64EF647C">
        <w:rPr>
          <w:rFonts w:cs="Arial"/>
        </w:rPr>
        <w:t xml:space="preserve">already </w:t>
      </w:r>
      <w:hyperlink r:id="rId27" w:history="1">
        <w:r w:rsidR="007C4856" w:rsidRPr="64EF647C">
          <w:rPr>
            <w:rStyle w:val="Hyperlink"/>
            <w:rFonts w:cs="Arial"/>
            <w:color w:val="auto"/>
            <w14:textOutline w14:w="9525" w14:cap="rnd" w14:cmpd="sng" w14:algn="ctr">
              <w14:noFill/>
              <w14:prstDash w14:val="solid"/>
              <w14:bevel/>
            </w14:textOutline>
          </w:rPr>
          <w:t>announced (opens in new tab)</w:t>
        </w:r>
      </w:hyperlink>
      <w:r w:rsidRPr="00772C49">
        <w:rPr>
          <w:rFonts w:cs="Arial"/>
          <w14:textOutline w14:w="9525" w14:cap="rnd" w14:cmpd="sng" w14:algn="ctr">
            <w14:noFill/>
            <w14:prstDash w14:val="solid"/>
            <w14:bevel/>
          </w14:textOutline>
        </w:rPr>
        <w:t xml:space="preserve"> th</w:t>
      </w:r>
      <w:r w:rsidR="0066137F" w:rsidRPr="00772C49">
        <w:rPr>
          <w:rFonts w:cs="Arial"/>
          <w14:textOutline w14:w="9525" w14:cap="rnd" w14:cmpd="sng" w14:algn="ctr">
            <w14:noFill/>
            <w14:prstDash w14:val="solid"/>
            <w14:bevel/>
          </w14:textOutline>
        </w:rPr>
        <w:t xml:space="preserve">at </w:t>
      </w:r>
      <w:r w:rsidR="000248AD">
        <w:rPr>
          <w:rFonts w:cs="Arial"/>
          <w14:textOutline w14:w="9525" w14:cap="rnd" w14:cmpd="sng" w14:algn="ctr">
            <w14:noFill/>
            <w14:prstDash w14:val="solid"/>
            <w14:bevel/>
          </w14:textOutline>
        </w:rPr>
        <w:t>it is</w:t>
      </w:r>
      <w:r w:rsidR="0066137F" w:rsidRPr="00772C49">
        <w:rPr>
          <w:rFonts w:cs="Arial"/>
          <w14:textOutline w14:w="9525" w14:cap="rnd" w14:cmpd="sng" w14:algn="ctr">
            <w14:noFill/>
            <w14:prstDash w14:val="solid"/>
            <w14:bevel/>
          </w14:textOutline>
        </w:rPr>
        <w:t xml:space="preserve"> working </w:t>
      </w:r>
      <w:r w:rsidR="005F2D12" w:rsidRPr="00772C49">
        <w:rPr>
          <w:rFonts w:cs="Arial"/>
          <w14:textOutline w14:w="9525" w14:cap="rnd" w14:cmpd="sng" w14:algn="ctr">
            <w14:noFill/>
            <w14:prstDash w14:val="solid"/>
            <w14:bevel/>
          </w14:textOutline>
        </w:rPr>
        <w:t>towards a managed closure by 31 March 2026</w:t>
      </w:r>
      <w:r w:rsidR="0066137F" w:rsidRPr="00772C49">
        <w:rPr>
          <w:rFonts w:cs="Arial"/>
          <w14:textOutline w14:w="9525" w14:cap="rnd" w14:cmpd="sng" w14:algn="ctr">
            <w14:noFill/>
            <w14:prstDash w14:val="solid"/>
            <w14:bevel/>
          </w14:textOutline>
        </w:rPr>
        <w:t xml:space="preserve"> as </w:t>
      </w:r>
      <w:r w:rsidR="009E0DB1">
        <w:rPr>
          <w:rFonts w:cs="Arial"/>
          <w14:textOutline w14:w="9525" w14:cap="rnd" w14:cmpd="sng" w14:algn="ctr">
            <w14:noFill/>
            <w14:prstDash w14:val="solid"/>
            <w14:bevel/>
          </w14:textOutline>
        </w:rPr>
        <w:t xml:space="preserve">some of </w:t>
      </w:r>
      <w:r w:rsidR="0066137F" w:rsidRPr="00772C49">
        <w:rPr>
          <w:rFonts w:cs="Arial"/>
          <w14:textOutline w14:w="9525" w14:cap="rnd" w14:cmpd="sng" w14:algn="ctr">
            <w14:noFill/>
            <w14:prstDash w14:val="solid"/>
            <w14:bevel/>
          </w14:textOutline>
        </w:rPr>
        <w:t xml:space="preserve">the work </w:t>
      </w:r>
      <w:r w:rsidR="000248AD">
        <w:rPr>
          <w:rFonts w:cs="Arial"/>
          <w14:textOutline w14:w="9525" w14:cap="rnd" w14:cmpd="sng" w14:algn="ctr">
            <w14:noFill/>
            <w14:prstDash w14:val="solid"/>
            <w14:bevel/>
          </w14:textOutline>
        </w:rPr>
        <w:t>it has</w:t>
      </w:r>
      <w:r w:rsidR="0066137F" w:rsidRPr="00772C49">
        <w:rPr>
          <w:rFonts w:cs="Arial"/>
          <w14:textOutline w14:w="9525" w14:cap="rnd" w14:cmpd="sng" w14:algn="ctr">
            <w14:noFill/>
            <w14:prstDash w14:val="solid"/>
            <w14:bevel/>
          </w14:textOutline>
        </w:rPr>
        <w:t xml:space="preserve"> historically delivered transitions to the UK </w:t>
      </w:r>
      <w:r w:rsidR="00091B14">
        <w:rPr>
          <w:rFonts w:cs="Arial"/>
          <w14:textOutline w14:w="9525" w14:cap="rnd" w14:cmpd="sng" w14:algn="ctr">
            <w14:noFill/>
            <w14:prstDash w14:val="solid"/>
            <w14:bevel/>
          </w14:textOutline>
        </w:rPr>
        <w:t>Government</w:t>
      </w:r>
      <w:r w:rsidR="0066137F" w:rsidRPr="00772C49">
        <w:rPr>
          <w:rFonts w:cs="Arial"/>
          <w14:textOutline w14:w="9525" w14:cap="rnd" w14:cmpd="sng" w14:algn="ctr">
            <w14:noFill/>
            <w14:prstDash w14:val="solid"/>
            <w14:bevel/>
          </w14:textOutline>
        </w:rPr>
        <w:t xml:space="preserve"> and new commissioners across England, </w:t>
      </w:r>
      <w:r w:rsidR="0066137F" w:rsidRPr="64EF647C">
        <w:rPr>
          <w:rFonts w:cs="Arial"/>
        </w:rPr>
        <w:t xml:space="preserve">Scotland and Wales under the new statutory levy system. </w:t>
      </w:r>
      <w:r w:rsidR="00995211" w:rsidRPr="00772C49">
        <w:rPr>
          <w:rFonts w:cs="Arial"/>
          <w14:textOutline w14:w="9525" w14:cap="rnd" w14:cmpd="sng" w14:algn="ctr">
            <w14:noFill/>
            <w14:prstDash w14:val="solid"/>
            <w14:bevel/>
          </w14:textOutline>
        </w:rPr>
        <w:t>This means that the Commission will no</w:t>
      </w:r>
      <w:r w:rsidR="00D63974" w:rsidRPr="00772C49">
        <w:rPr>
          <w:rFonts w:cs="Arial"/>
          <w14:textOutline w14:w="9525" w14:cap="rnd" w14:cmpd="sng" w14:algn="ctr">
            <w14:noFill/>
            <w14:prstDash w14:val="solid"/>
            <w14:bevel/>
          </w14:textOutline>
        </w:rPr>
        <w:t xml:space="preserve"> longer have an automatic destination for any future </w:t>
      </w:r>
      <w:r w:rsidR="00995211" w:rsidRPr="00772C49">
        <w:rPr>
          <w:rFonts w:cs="Arial"/>
          <w14:textOutline w14:w="9525" w14:cap="rnd" w14:cmpd="sng" w14:algn="ctr">
            <w14:noFill/>
            <w14:prstDash w14:val="solid"/>
            <w14:bevel/>
          </w14:textOutline>
        </w:rPr>
        <w:t xml:space="preserve">regulatory </w:t>
      </w:r>
      <w:r w:rsidR="00D63974" w:rsidRPr="00772C49">
        <w:rPr>
          <w:rFonts w:cs="Arial"/>
          <w14:textOutline w14:w="9525" w14:cap="rnd" w14:cmpd="sng" w14:algn="ctr">
            <w14:noFill/>
            <w14:prstDash w14:val="solid"/>
            <w14:bevel/>
          </w14:textOutline>
        </w:rPr>
        <w:t xml:space="preserve">settlements as set out in </w:t>
      </w:r>
      <w:r w:rsidR="00995211" w:rsidRPr="00772C49">
        <w:rPr>
          <w:rFonts w:cs="Arial"/>
          <w14:textOutline w14:w="9525" w14:cap="rnd" w14:cmpd="sng" w14:algn="ctr">
            <w14:noFill/>
            <w14:prstDash w14:val="solid"/>
            <w14:bevel/>
          </w14:textOutline>
        </w:rPr>
        <w:t>our</w:t>
      </w:r>
      <w:r w:rsidR="00995211" w:rsidRPr="64EF647C">
        <w:rPr>
          <w:rFonts w:cs="Arial"/>
        </w:rPr>
        <w:t xml:space="preserve"> </w:t>
      </w:r>
      <w:hyperlink r:id="rId28">
        <w:r w:rsidR="00995211" w:rsidRPr="64EF647C">
          <w:rPr>
            <w:rStyle w:val="Hyperlink"/>
            <w:color w:val="auto"/>
          </w:rPr>
          <w:t>Statement of principles for determining financial penalties (opens in a new tab)</w:t>
        </w:r>
      </w:hyperlink>
      <w:r w:rsidR="00D63974" w:rsidRPr="00772C49">
        <w:rPr>
          <w:rFonts w:cs="Arial"/>
          <w14:textOutline w14:w="9525" w14:cap="rnd" w14:cmpd="sng" w14:algn="ctr">
            <w14:noFill/>
            <w14:prstDash w14:val="solid"/>
            <w14:bevel/>
          </w14:textOutline>
        </w:rPr>
        <w:t xml:space="preserve">. Having an automatic destination was designed to ensure that regulatory settlement funds went to </w:t>
      </w:r>
      <w:r w:rsidR="00D63974" w:rsidRPr="64EF647C">
        <w:rPr>
          <w:rFonts w:cs="Arial"/>
        </w:rPr>
        <w:t xml:space="preserve">an appropriate body </w:t>
      </w:r>
      <w:r w:rsidR="00995211" w:rsidRPr="00772C49">
        <w:rPr>
          <w:rFonts w:cs="Arial"/>
          <w14:textOutline w14:w="9525" w14:cap="rnd" w14:cmpd="sng" w14:algn="ctr">
            <w14:noFill/>
            <w14:prstDash w14:val="solid"/>
            <w14:bevel/>
          </w14:textOutline>
        </w:rPr>
        <w:t>who could</w:t>
      </w:r>
      <w:r w:rsidR="00D63974" w:rsidRPr="00772C49">
        <w:rPr>
          <w:rFonts w:cs="Arial"/>
          <w14:textOutline w14:w="9525" w14:cap="rnd" w14:cmpd="sng" w14:algn="ctr">
            <w14:noFill/>
            <w14:prstDash w14:val="solid"/>
            <w14:bevel/>
          </w14:textOutline>
        </w:rPr>
        <w:t xml:space="preserve"> commission </w:t>
      </w:r>
      <w:r w:rsidR="00995211" w:rsidRPr="00772C49">
        <w:rPr>
          <w:rFonts w:cs="Arial"/>
          <w14:textOutline w14:w="9525" w14:cap="rnd" w14:cmpd="sng" w14:algn="ctr">
            <w14:noFill/>
            <w14:prstDash w14:val="solid"/>
            <w14:bevel/>
          </w14:textOutline>
        </w:rPr>
        <w:t xml:space="preserve">programmes and </w:t>
      </w:r>
      <w:r w:rsidR="00D63974" w:rsidRPr="00772C49">
        <w:rPr>
          <w:rFonts w:cs="Arial"/>
          <w14:textOutline w14:w="9525" w14:cap="rnd" w14:cmpd="sng" w14:algn="ctr">
            <w14:noFill/>
            <w14:prstDash w14:val="solid"/>
            <w14:bevel/>
          </w14:textOutline>
        </w:rPr>
        <w:t xml:space="preserve">services and </w:t>
      </w:r>
      <w:r w:rsidR="00D63974" w:rsidRPr="64EF647C">
        <w:rPr>
          <w:rFonts w:cs="Arial"/>
        </w:rPr>
        <w:t>monitor their delivery. At times</w:t>
      </w:r>
      <w:r w:rsidR="00B233C7">
        <w:rPr>
          <w:rFonts w:cs="Arial"/>
        </w:rPr>
        <w:t xml:space="preserve"> before the introduction of the </w:t>
      </w:r>
      <w:r w:rsidR="00601273">
        <w:rPr>
          <w:rFonts w:cs="Arial"/>
        </w:rPr>
        <w:t>statutory</w:t>
      </w:r>
      <w:r w:rsidR="00B233C7">
        <w:rPr>
          <w:rFonts w:cs="Arial"/>
        </w:rPr>
        <w:t xml:space="preserve"> system</w:t>
      </w:r>
      <w:r w:rsidR="00D63974" w:rsidRPr="64EF647C">
        <w:rPr>
          <w:rFonts w:cs="Arial"/>
        </w:rPr>
        <w:t>, the Commission has approved the destination of regulatory settlements to other bodies</w:t>
      </w:r>
      <w:r w:rsidR="00601273">
        <w:rPr>
          <w:rFonts w:cs="Arial"/>
        </w:rPr>
        <w:t xml:space="preserve"> such as during periods of growth for </w:t>
      </w:r>
      <w:proofErr w:type="spellStart"/>
      <w:r w:rsidR="00601273">
        <w:rPr>
          <w:rFonts w:cs="Arial"/>
        </w:rPr>
        <w:t>GambleA</w:t>
      </w:r>
      <w:r w:rsidR="002607AD">
        <w:rPr>
          <w:rFonts w:cs="Arial"/>
        </w:rPr>
        <w:t>w</w:t>
      </w:r>
      <w:r w:rsidR="00601273">
        <w:rPr>
          <w:rFonts w:cs="Arial"/>
        </w:rPr>
        <w:t>are</w:t>
      </w:r>
      <w:proofErr w:type="spellEnd"/>
      <w:r w:rsidR="00601273">
        <w:rPr>
          <w:rFonts w:cs="Arial"/>
        </w:rPr>
        <w:t xml:space="preserve"> when </w:t>
      </w:r>
      <w:r w:rsidR="002607AD">
        <w:rPr>
          <w:rFonts w:cs="Arial"/>
        </w:rPr>
        <w:t>it</w:t>
      </w:r>
      <w:r w:rsidR="00601273">
        <w:rPr>
          <w:rFonts w:cs="Arial"/>
        </w:rPr>
        <w:t xml:space="preserve"> would have been unable to use </w:t>
      </w:r>
      <w:r w:rsidR="002607AD">
        <w:rPr>
          <w:rFonts w:cs="Arial"/>
        </w:rPr>
        <w:t>unexpected additional funding</w:t>
      </w:r>
      <w:r w:rsidR="00C90C53">
        <w:rPr>
          <w:rFonts w:cs="Arial"/>
        </w:rPr>
        <w:t xml:space="preserve"> or when a specific proposal had been received by the Commission</w:t>
      </w:r>
      <w:r w:rsidR="00D63974" w:rsidRPr="64EF647C">
        <w:rPr>
          <w:rFonts w:cs="Arial"/>
        </w:rPr>
        <w:t xml:space="preserve">, but this was </w:t>
      </w:r>
      <w:r w:rsidR="00656214" w:rsidRPr="00772C49">
        <w:rPr>
          <w:rFonts w:cs="Arial"/>
          <w14:textOutline w14:w="9525" w14:cap="rnd" w14:cmpd="sng" w14:algn="ctr">
            <w14:noFill/>
            <w14:prstDash w14:val="solid"/>
            <w14:bevel/>
          </w14:textOutline>
        </w:rPr>
        <w:t>never</w:t>
      </w:r>
      <w:r w:rsidR="00D63974" w:rsidRPr="00772C49">
        <w:rPr>
          <w:rFonts w:cs="Arial"/>
          <w14:textOutline w14:w="9525" w14:cap="rnd" w14:cmpd="sng" w14:algn="ctr">
            <w14:noFill/>
            <w14:prstDash w14:val="solid"/>
            <w14:bevel/>
          </w14:textOutline>
        </w:rPr>
        <w:t xml:space="preserve"> a preferred long-term solution and </w:t>
      </w:r>
      <w:r w:rsidR="00656214" w:rsidRPr="00772C49">
        <w:rPr>
          <w:rFonts w:cs="Arial"/>
          <w14:textOutline w14:w="9525" w14:cap="rnd" w14:cmpd="sng" w14:algn="ctr">
            <w14:noFill/>
            <w14:prstDash w14:val="solid"/>
            <w14:bevel/>
          </w14:textOutline>
        </w:rPr>
        <w:t xml:space="preserve">we have always </w:t>
      </w:r>
      <w:r w:rsidR="0019533E">
        <w:rPr>
          <w:rFonts w:cs="Arial"/>
        </w:rPr>
        <w:t>advised</w:t>
      </w:r>
      <w:r w:rsidR="275E6864" w:rsidRPr="64EF647C">
        <w:rPr>
          <w:rFonts w:cs="Arial"/>
        </w:rPr>
        <w:t xml:space="preserve"> </w:t>
      </w:r>
      <w:r w:rsidR="00D63974" w:rsidRPr="64EF647C">
        <w:rPr>
          <w:rFonts w:cs="Arial"/>
        </w:rPr>
        <w:t xml:space="preserve">that a </w:t>
      </w:r>
      <w:r w:rsidR="008F5CA6">
        <w:rPr>
          <w:rFonts w:cs="Arial"/>
        </w:rPr>
        <w:t xml:space="preserve">central commissioning system, such as that delivered through a </w:t>
      </w:r>
      <w:r w:rsidR="0003134E">
        <w:rPr>
          <w:rFonts w:cs="Arial"/>
        </w:rPr>
        <w:t xml:space="preserve">statutory </w:t>
      </w:r>
      <w:r w:rsidR="00D63974" w:rsidRPr="64EF647C">
        <w:rPr>
          <w:rFonts w:cs="Arial"/>
        </w:rPr>
        <w:t>levy</w:t>
      </w:r>
      <w:r w:rsidR="00602BFB">
        <w:rPr>
          <w:rFonts w:cs="Arial"/>
        </w:rPr>
        <w:t>,</w:t>
      </w:r>
      <w:r w:rsidR="00D63974" w:rsidRPr="64EF647C">
        <w:rPr>
          <w:rFonts w:cs="Arial"/>
        </w:rPr>
        <w:t xml:space="preserve"> should be the way in which almost all gambling research, prevention and treatment should be funded.  </w:t>
      </w:r>
    </w:p>
    <w:p w14:paraId="7D04A0F3" w14:textId="77777777" w:rsidR="00917279" w:rsidRPr="00772C49" w:rsidRDefault="00917279" w:rsidP="00D63974">
      <w:pPr>
        <w:spacing w:after="0" w:line="240" w:lineRule="auto"/>
        <w:rPr>
          <w:rFonts w:cs="Arial"/>
          <w14:textOutline w14:w="9525" w14:cap="rnd" w14:cmpd="sng" w14:algn="ctr">
            <w14:noFill/>
            <w14:prstDash w14:val="solid"/>
            <w14:bevel/>
          </w14:textOutline>
        </w:rPr>
      </w:pPr>
    </w:p>
    <w:p w14:paraId="2303F468" w14:textId="711A01BB" w:rsidR="001E5E67" w:rsidRDefault="00917279" w:rsidP="00917279">
      <w:pPr>
        <w:spacing w:after="0" w:line="240" w:lineRule="auto"/>
        <w:rPr>
          <w:rFonts w:eastAsiaTheme="majorEastAsia" w:cs="Arial"/>
        </w:rPr>
      </w:pPr>
      <w:r w:rsidRPr="00772C49">
        <w:rPr>
          <w:rFonts w:eastAsiaTheme="majorEastAsia" w:cs="Arial"/>
        </w:rPr>
        <w:t xml:space="preserve">With the closure of </w:t>
      </w:r>
      <w:proofErr w:type="spellStart"/>
      <w:r w:rsidRPr="00772C49">
        <w:rPr>
          <w:rFonts w:eastAsiaTheme="majorEastAsia" w:cs="Arial"/>
        </w:rPr>
        <w:t>GambleAware</w:t>
      </w:r>
      <w:proofErr w:type="spellEnd"/>
      <w:r w:rsidRPr="00772C49">
        <w:rPr>
          <w:rFonts w:eastAsiaTheme="majorEastAsia" w:cs="Arial"/>
        </w:rPr>
        <w:t xml:space="preserve"> in a few months</w:t>
      </w:r>
      <w:r w:rsidR="00EA6018">
        <w:rPr>
          <w:rFonts w:eastAsiaTheme="majorEastAsia" w:cs="Arial"/>
        </w:rPr>
        <w:t>,</w:t>
      </w:r>
      <w:r w:rsidRPr="00772C49">
        <w:rPr>
          <w:rFonts w:eastAsiaTheme="majorEastAsia" w:cs="Arial"/>
        </w:rPr>
        <w:t xml:space="preserve"> we have been exploring a range of options with the Department for Culture, Media and Sport (DCMS) and</w:t>
      </w:r>
      <w:r w:rsidR="00485060">
        <w:rPr>
          <w:rFonts w:eastAsiaTheme="majorEastAsia" w:cs="Arial"/>
        </w:rPr>
        <w:t xml:space="preserve"> they have explored the matter on our behalf with</w:t>
      </w:r>
      <w:r w:rsidR="00FE10FC">
        <w:rPr>
          <w:rFonts w:eastAsiaTheme="majorEastAsia" w:cs="Arial"/>
        </w:rPr>
        <w:t xml:space="preserve"> </w:t>
      </w:r>
      <w:r w:rsidRPr="00772C49">
        <w:rPr>
          <w:rFonts w:eastAsiaTheme="majorEastAsia" w:cs="Arial"/>
        </w:rPr>
        <w:t>the</w:t>
      </w:r>
      <w:r w:rsidR="00423666">
        <w:rPr>
          <w:rFonts w:eastAsiaTheme="majorEastAsia" w:cs="Arial"/>
        </w:rPr>
        <w:t xml:space="preserve"> other</w:t>
      </w:r>
      <w:r w:rsidRPr="00772C49">
        <w:rPr>
          <w:rFonts w:eastAsiaTheme="majorEastAsia" w:cs="Arial"/>
        </w:rPr>
        <w:t xml:space="preserve"> levy commissioning bodies; UK Research and Innovation (UKRI), the Office for Health Improvement and Disparities (OHID), NHS England and the Scottish and Welsh </w:t>
      </w:r>
      <w:r w:rsidR="00091B14">
        <w:rPr>
          <w:rFonts w:eastAsiaTheme="majorEastAsia" w:cs="Arial"/>
        </w:rPr>
        <w:t>Government</w:t>
      </w:r>
      <w:r w:rsidRPr="00772C49">
        <w:rPr>
          <w:rFonts w:eastAsiaTheme="majorEastAsia" w:cs="Arial"/>
        </w:rPr>
        <w:t>s</w:t>
      </w:r>
      <w:r w:rsidR="007A5E94">
        <w:rPr>
          <w:rFonts w:eastAsiaTheme="majorEastAsia" w:cs="Arial"/>
        </w:rPr>
        <w:t xml:space="preserve">. </w:t>
      </w:r>
      <w:r w:rsidR="00120423">
        <w:rPr>
          <w:rFonts w:eastAsiaTheme="majorEastAsia" w:cs="Arial"/>
        </w:rPr>
        <w:t>The</w:t>
      </w:r>
      <w:r w:rsidR="007A5E94">
        <w:rPr>
          <w:rFonts w:eastAsiaTheme="majorEastAsia" w:cs="Arial"/>
        </w:rPr>
        <w:t xml:space="preserve"> range of options </w:t>
      </w:r>
      <w:r w:rsidR="00061A1C">
        <w:rPr>
          <w:rFonts w:eastAsiaTheme="majorEastAsia" w:cs="Arial"/>
        </w:rPr>
        <w:t>under consideration included</w:t>
      </w:r>
      <w:r w:rsidR="00700ED4">
        <w:rPr>
          <w:rFonts w:eastAsiaTheme="majorEastAsia" w:cs="Arial"/>
        </w:rPr>
        <w:t xml:space="preserve"> completely or partially </w:t>
      </w:r>
      <w:r w:rsidR="00935F58">
        <w:rPr>
          <w:rFonts w:eastAsiaTheme="majorEastAsia" w:cs="Arial"/>
        </w:rPr>
        <w:t xml:space="preserve">mirroring the </w:t>
      </w:r>
      <w:r w:rsidR="00935F58" w:rsidRPr="00772C49">
        <w:rPr>
          <w:rFonts w:eastAsiaTheme="majorEastAsia" w:cs="Arial"/>
        </w:rPr>
        <w:t>statutory levy system</w:t>
      </w:r>
      <w:r w:rsidR="00935F58">
        <w:rPr>
          <w:rFonts w:eastAsiaTheme="majorEastAsia" w:cs="Arial"/>
        </w:rPr>
        <w:t xml:space="preserve"> </w:t>
      </w:r>
      <w:r w:rsidR="00935F58">
        <w:rPr>
          <w:rFonts w:eastAsiaTheme="majorEastAsia" w:cs="Arial"/>
        </w:rPr>
        <w:lastRenderedPageBreak/>
        <w:t xml:space="preserve">to disperse funds to one or more of </w:t>
      </w:r>
      <w:r w:rsidR="00C37BAD">
        <w:rPr>
          <w:rFonts w:eastAsiaTheme="majorEastAsia" w:cs="Arial"/>
        </w:rPr>
        <w:t>the levy commissioners</w:t>
      </w:r>
      <w:r w:rsidR="005D34F8">
        <w:rPr>
          <w:rFonts w:eastAsiaTheme="majorEastAsia" w:cs="Arial"/>
        </w:rPr>
        <w:t>,</w:t>
      </w:r>
      <w:r w:rsidR="00C37BAD">
        <w:rPr>
          <w:rFonts w:eastAsiaTheme="majorEastAsia" w:cs="Arial"/>
        </w:rPr>
        <w:t xml:space="preserve"> a</w:t>
      </w:r>
      <w:r w:rsidR="00061A1C">
        <w:rPr>
          <w:rFonts w:eastAsiaTheme="majorEastAsia" w:cs="Arial"/>
        </w:rPr>
        <w:t>s well as</w:t>
      </w:r>
      <w:r w:rsidR="00C37BAD">
        <w:rPr>
          <w:rFonts w:eastAsiaTheme="majorEastAsia" w:cs="Arial"/>
        </w:rPr>
        <w:t xml:space="preserve"> </w:t>
      </w:r>
      <w:r w:rsidR="00061A1C">
        <w:rPr>
          <w:rFonts w:eastAsiaTheme="majorEastAsia" w:cs="Arial"/>
        </w:rPr>
        <w:t xml:space="preserve">exploring </w:t>
      </w:r>
      <w:r w:rsidR="00FE5B51">
        <w:rPr>
          <w:rFonts w:eastAsiaTheme="majorEastAsia" w:cs="Arial"/>
        </w:rPr>
        <w:t xml:space="preserve">whether an alternative commissioner could be identified </w:t>
      </w:r>
      <w:r w:rsidR="0029710F">
        <w:rPr>
          <w:rFonts w:eastAsiaTheme="majorEastAsia" w:cs="Arial"/>
        </w:rPr>
        <w:t>to receive regulatory settlement funds.</w:t>
      </w:r>
    </w:p>
    <w:p w14:paraId="1045E337" w14:textId="77777777" w:rsidR="00F961B6" w:rsidRDefault="00F961B6" w:rsidP="00917279">
      <w:pPr>
        <w:spacing w:after="0" w:line="240" w:lineRule="auto"/>
        <w:rPr>
          <w:rFonts w:eastAsiaTheme="majorEastAsia" w:cs="Arial"/>
        </w:rPr>
      </w:pPr>
    </w:p>
    <w:p w14:paraId="6934CB5F" w14:textId="56A05A93" w:rsidR="00F961B6" w:rsidRDefault="00F961B6" w:rsidP="00F961B6">
      <w:pPr>
        <w:spacing w:after="0" w:line="240" w:lineRule="auto"/>
        <w:rPr>
          <w:rFonts w:eastAsiaTheme="majorEastAsia" w:cs="Arial"/>
        </w:rPr>
      </w:pPr>
      <w:r w:rsidRPr="00772C49">
        <w:rPr>
          <w:rFonts w:eastAsiaTheme="majorEastAsia" w:cs="Arial"/>
        </w:rPr>
        <w:t xml:space="preserve">The consensus has been that the complexity and potential volatility of regulatory settlement funds (which may not come at all for some time, often come at short notice when they do arise, can be of varying amounts and are often mid-year so difficult to plan for) would likely create </w:t>
      </w:r>
      <w:r>
        <w:rPr>
          <w:rFonts w:eastAsiaTheme="majorEastAsia" w:cs="Arial"/>
        </w:rPr>
        <w:t>significant</w:t>
      </w:r>
      <w:r w:rsidRPr="00772C49">
        <w:rPr>
          <w:rFonts w:eastAsiaTheme="majorEastAsia" w:cs="Arial"/>
        </w:rPr>
        <w:t xml:space="preserve"> challenges for levy commissioning bodies</w:t>
      </w:r>
      <w:r>
        <w:rPr>
          <w:rFonts w:eastAsiaTheme="majorEastAsia" w:cs="Arial"/>
        </w:rPr>
        <w:t xml:space="preserve">, particularly because </w:t>
      </w:r>
      <w:r w:rsidRPr="00772C49">
        <w:rPr>
          <w:rFonts w:eastAsiaTheme="majorEastAsia" w:cs="Arial"/>
        </w:rPr>
        <w:t>their levy allocations</w:t>
      </w:r>
      <w:r>
        <w:rPr>
          <w:rFonts w:eastAsiaTheme="majorEastAsia" w:cs="Arial"/>
        </w:rPr>
        <w:t xml:space="preserve"> should enable and support effective </w:t>
      </w:r>
      <w:r w:rsidR="005D6A58">
        <w:rPr>
          <w:rFonts w:eastAsiaTheme="majorEastAsia" w:cs="Arial"/>
        </w:rPr>
        <w:t xml:space="preserve">and sustainable </w:t>
      </w:r>
      <w:r>
        <w:rPr>
          <w:rFonts w:eastAsiaTheme="majorEastAsia" w:cs="Arial"/>
        </w:rPr>
        <w:t>research, prevention and treatment</w:t>
      </w:r>
      <w:r w:rsidRPr="00772C49">
        <w:rPr>
          <w:rFonts w:eastAsiaTheme="majorEastAsia" w:cs="Arial"/>
        </w:rPr>
        <w:t xml:space="preserve">. </w:t>
      </w:r>
    </w:p>
    <w:p w14:paraId="485B14AB" w14:textId="77777777" w:rsidR="00F961B6" w:rsidRPr="00772C49" w:rsidRDefault="00F961B6" w:rsidP="00917279">
      <w:pPr>
        <w:spacing w:after="0" w:line="240" w:lineRule="auto"/>
        <w:rPr>
          <w:rFonts w:eastAsiaTheme="majorEastAsia" w:cs="Arial"/>
        </w:rPr>
      </w:pPr>
    </w:p>
    <w:p w14:paraId="6A147D9A" w14:textId="2960D036" w:rsidR="00017267" w:rsidRDefault="00372BD9" w:rsidP="00917279">
      <w:pPr>
        <w:spacing w:after="0" w:line="240" w:lineRule="auto"/>
        <w:rPr>
          <w:rFonts w:eastAsiaTheme="majorEastAsia" w:cs="Arial"/>
        </w:rPr>
      </w:pPr>
      <w:r>
        <w:rPr>
          <w:rFonts w:eastAsiaTheme="majorEastAsia" w:cs="Arial"/>
        </w:rPr>
        <w:t xml:space="preserve">The </w:t>
      </w:r>
      <w:r w:rsidR="008F72BC">
        <w:rPr>
          <w:rFonts w:eastAsiaTheme="majorEastAsia" w:cs="Arial"/>
        </w:rPr>
        <w:t>Government</w:t>
      </w:r>
      <w:r w:rsidR="00B11F89">
        <w:rPr>
          <w:rFonts w:eastAsiaTheme="majorEastAsia" w:cs="Arial"/>
        </w:rPr>
        <w:t xml:space="preserve"> has set out the new levy system </w:t>
      </w:r>
      <w:r w:rsidR="00F5408A">
        <w:rPr>
          <w:rFonts w:eastAsiaTheme="majorEastAsia" w:cs="Arial"/>
        </w:rPr>
        <w:t xml:space="preserve">and each commissioning body under the system can make the case for the use of </w:t>
      </w:r>
      <w:r w:rsidR="003F1417">
        <w:rPr>
          <w:rFonts w:eastAsiaTheme="majorEastAsia" w:cs="Arial"/>
        </w:rPr>
        <w:t>levy</w:t>
      </w:r>
      <w:r w:rsidR="00F5408A">
        <w:rPr>
          <w:rFonts w:eastAsiaTheme="majorEastAsia" w:cs="Arial"/>
        </w:rPr>
        <w:t xml:space="preserve"> funding from year to year. There is an argument therefore that </w:t>
      </w:r>
      <w:r w:rsidR="00DB019B">
        <w:rPr>
          <w:rFonts w:eastAsiaTheme="majorEastAsia" w:cs="Arial"/>
        </w:rPr>
        <w:t xml:space="preserve">any additional funding which might arise from regulatory settlements should be </w:t>
      </w:r>
      <w:r w:rsidR="00174BE3">
        <w:rPr>
          <w:rFonts w:eastAsiaTheme="majorEastAsia" w:cs="Arial"/>
        </w:rPr>
        <w:t xml:space="preserve">a matter for </w:t>
      </w:r>
      <w:r w:rsidR="005A3D13">
        <w:rPr>
          <w:rFonts w:eastAsiaTheme="majorEastAsia" w:cs="Arial"/>
        </w:rPr>
        <w:t xml:space="preserve">the </w:t>
      </w:r>
      <w:r w:rsidR="00091B14">
        <w:rPr>
          <w:rFonts w:eastAsiaTheme="majorEastAsia" w:cs="Arial"/>
        </w:rPr>
        <w:t>Government</w:t>
      </w:r>
      <w:r w:rsidR="00174BE3">
        <w:rPr>
          <w:rFonts w:eastAsiaTheme="majorEastAsia" w:cs="Arial"/>
        </w:rPr>
        <w:t xml:space="preserve"> to decide</w:t>
      </w:r>
      <w:r w:rsidR="00E92B1D">
        <w:rPr>
          <w:rFonts w:eastAsiaTheme="majorEastAsia" w:cs="Arial"/>
        </w:rPr>
        <w:t>, including</w:t>
      </w:r>
      <w:r w:rsidR="00174BE3">
        <w:rPr>
          <w:rFonts w:eastAsiaTheme="majorEastAsia" w:cs="Arial"/>
        </w:rPr>
        <w:t xml:space="preserve"> whether funding over and above the levy is necessary and proportionate.</w:t>
      </w:r>
    </w:p>
    <w:p w14:paraId="28D26A3D" w14:textId="77777777" w:rsidR="003574D6" w:rsidRDefault="003574D6" w:rsidP="00917279">
      <w:pPr>
        <w:spacing w:after="0" w:line="240" w:lineRule="auto"/>
        <w:rPr>
          <w:rFonts w:eastAsiaTheme="majorEastAsia" w:cs="Arial"/>
        </w:rPr>
      </w:pPr>
    </w:p>
    <w:p w14:paraId="56E810D2" w14:textId="26A37B52" w:rsidR="003574D6" w:rsidRDefault="003574D6" w:rsidP="00917279">
      <w:pPr>
        <w:spacing w:after="0" w:line="240" w:lineRule="auto"/>
        <w:rPr>
          <w:rFonts w:eastAsiaTheme="majorEastAsia" w:cs="Arial"/>
        </w:rPr>
      </w:pPr>
      <w:r>
        <w:rPr>
          <w:rFonts w:eastAsiaTheme="majorEastAsia" w:cs="Arial"/>
        </w:rPr>
        <w:t>For these reasons,</w:t>
      </w:r>
      <w:r w:rsidRPr="00772C49">
        <w:rPr>
          <w:rFonts w:eastAsiaTheme="majorEastAsia" w:cs="Arial"/>
        </w:rPr>
        <w:t xml:space="preserve"> it has not been possible to identify a model </w:t>
      </w:r>
      <w:r w:rsidRPr="008E5DDE">
        <w:rPr>
          <w:rFonts w:eastAsiaTheme="majorEastAsia" w:cs="Arial"/>
        </w:rPr>
        <w:t>where</w:t>
      </w:r>
      <w:r w:rsidRPr="00772C49">
        <w:rPr>
          <w:rFonts w:eastAsiaTheme="majorEastAsia" w:cs="Arial"/>
        </w:rPr>
        <w:t xml:space="preserve"> regulatory settlements could</w:t>
      </w:r>
      <w:r>
        <w:rPr>
          <w:rFonts w:eastAsiaTheme="majorEastAsia" w:cs="Arial"/>
        </w:rPr>
        <w:t xml:space="preserve"> or should fully or partially</w:t>
      </w:r>
      <w:r w:rsidRPr="00772C49">
        <w:rPr>
          <w:rFonts w:eastAsiaTheme="majorEastAsia" w:cs="Arial"/>
        </w:rPr>
        <w:t xml:space="preserve"> mirror the statutory levy system.</w:t>
      </w:r>
      <w:r>
        <w:rPr>
          <w:rFonts w:eastAsiaTheme="majorEastAsia" w:cs="Arial"/>
        </w:rPr>
        <w:t xml:space="preserve"> Instead</w:t>
      </w:r>
      <w:r w:rsidR="002F5D40">
        <w:rPr>
          <w:rFonts w:eastAsiaTheme="majorEastAsia" w:cs="Arial"/>
        </w:rPr>
        <w:t>,</w:t>
      </w:r>
      <w:r>
        <w:rPr>
          <w:rFonts w:eastAsiaTheme="majorEastAsia" w:cs="Arial"/>
        </w:rPr>
        <w:t xml:space="preserve"> the discussions have led to recommendations </w:t>
      </w:r>
      <w:r w:rsidR="00917279" w:rsidRPr="00772C49">
        <w:rPr>
          <w:rFonts w:eastAsiaTheme="majorEastAsia" w:cs="Arial"/>
        </w:rPr>
        <w:t>to create clear separation between the statutory levy and any future regulatory settlement</w:t>
      </w:r>
      <w:r w:rsidR="00450E4D">
        <w:rPr>
          <w:rFonts w:eastAsiaTheme="majorEastAsia" w:cs="Arial"/>
        </w:rPr>
        <w:t xml:space="preserve"> fund</w:t>
      </w:r>
      <w:r w:rsidR="00917279" w:rsidRPr="00772C49">
        <w:rPr>
          <w:rFonts w:eastAsiaTheme="majorEastAsia" w:cs="Arial"/>
        </w:rPr>
        <w:t>s</w:t>
      </w:r>
      <w:r w:rsidR="009075C4" w:rsidRPr="00772C49">
        <w:rPr>
          <w:rFonts w:eastAsiaTheme="majorEastAsia" w:cs="Arial"/>
        </w:rPr>
        <w:t xml:space="preserve">. </w:t>
      </w:r>
    </w:p>
    <w:p w14:paraId="12717540" w14:textId="77777777" w:rsidR="003574D6" w:rsidRDefault="003574D6" w:rsidP="00917279">
      <w:pPr>
        <w:spacing w:after="0" w:line="240" w:lineRule="auto"/>
        <w:rPr>
          <w:rFonts w:eastAsiaTheme="majorEastAsia" w:cs="Arial"/>
        </w:rPr>
      </w:pPr>
    </w:p>
    <w:p w14:paraId="63CD45AB" w14:textId="35F6CEB5" w:rsidR="003574D6" w:rsidRDefault="002530A0" w:rsidP="00917279">
      <w:pPr>
        <w:spacing w:after="0" w:line="240" w:lineRule="auto"/>
        <w:rPr>
          <w:rFonts w:eastAsiaTheme="majorEastAsia" w:cs="Arial"/>
        </w:rPr>
      </w:pPr>
      <w:r>
        <w:rPr>
          <w:rFonts w:eastAsiaTheme="majorEastAsia" w:cs="Arial"/>
        </w:rPr>
        <w:t>Similarly, we do not</w:t>
      </w:r>
      <w:r w:rsidR="005B3D2A">
        <w:rPr>
          <w:rFonts w:eastAsiaTheme="majorEastAsia" w:cs="Arial"/>
        </w:rPr>
        <w:t xml:space="preserve"> at this time</w:t>
      </w:r>
      <w:r>
        <w:rPr>
          <w:rFonts w:eastAsiaTheme="majorEastAsia" w:cs="Arial"/>
        </w:rPr>
        <w:t xml:space="preserve"> consider that there is an appropriate alternative commissioner that could be identified </w:t>
      </w:r>
      <w:r w:rsidR="00834605">
        <w:rPr>
          <w:rFonts w:eastAsiaTheme="majorEastAsia" w:cs="Arial"/>
        </w:rPr>
        <w:t xml:space="preserve">to act alongside the levy system. This is because </w:t>
      </w:r>
      <w:r w:rsidR="00017D25">
        <w:rPr>
          <w:rFonts w:eastAsiaTheme="majorEastAsia" w:cs="Arial"/>
        </w:rPr>
        <w:t xml:space="preserve">the </w:t>
      </w:r>
      <w:r w:rsidR="00091B14">
        <w:rPr>
          <w:rFonts w:eastAsiaTheme="majorEastAsia" w:cs="Arial"/>
        </w:rPr>
        <w:t>Government</w:t>
      </w:r>
      <w:r w:rsidR="00834605">
        <w:rPr>
          <w:rFonts w:eastAsiaTheme="majorEastAsia" w:cs="Arial"/>
        </w:rPr>
        <w:t xml:space="preserve"> has identified that the commissioners within the levy system are the most appropriate bodies for </w:t>
      </w:r>
      <w:r w:rsidR="005B3D2A">
        <w:rPr>
          <w:rFonts w:eastAsiaTheme="majorEastAsia" w:cs="Arial"/>
        </w:rPr>
        <w:t xml:space="preserve">commissioning and coordinating research, prevention and treatment. Having further activity outside of these structures risks uncoordinated activity or gaps and duplication, or that commissioning and evaluation </w:t>
      </w:r>
      <w:r w:rsidR="00E92B1D">
        <w:rPr>
          <w:rFonts w:eastAsiaTheme="majorEastAsia" w:cs="Arial"/>
        </w:rPr>
        <w:t>practices are not upheld.</w:t>
      </w:r>
    </w:p>
    <w:p w14:paraId="457E406E" w14:textId="686568CE" w:rsidR="005B3D2A" w:rsidRDefault="005B3D2A" w:rsidP="00917279">
      <w:pPr>
        <w:spacing w:after="0" w:line="240" w:lineRule="auto"/>
        <w:rPr>
          <w:rFonts w:eastAsiaTheme="majorEastAsia" w:cs="Arial"/>
        </w:rPr>
      </w:pPr>
    </w:p>
    <w:p w14:paraId="0B0A78DD" w14:textId="009A73F9" w:rsidR="009C674D" w:rsidRDefault="00C81394" w:rsidP="00917279">
      <w:pPr>
        <w:spacing w:after="0" w:line="240" w:lineRule="auto"/>
        <w:rPr>
          <w:rFonts w:eastAsiaTheme="majorEastAsia" w:cs="Arial"/>
        </w:rPr>
      </w:pPr>
      <w:r w:rsidRPr="0056488D">
        <w:rPr>
          <w:rFonts w:eastAsiaTheme="majorEastAsia" w:cs="Arial"/>
        </w:rPr>
        <w:t xml:space="preserve">We consider that </w:t>
      </w:r>
      <w:r w:rsidR="0097797D" w:rsidRPr="0056488D">
        <w:rPr>
          <w:rFonts w:eastAsiaTheme="majorEastAsia" w:cs="Arial"/>
        </w:rPr>
        <w:t xml:space="preserve">it would not be appropriate for the Commission to act as an alternative commissioner </w:t>
      </w:r>
      <w:r w:rsidR="008B3703" w:rsidRPr="0056488D">
        <w:rPr>
          <w:rFonts w:eastAsiaTheme="majorEastAsia" w:cs="Arial"/>
        </w:rPr>
        <w:t xml:space="preserve">for regulatory settlement funds </w:t>
      </w:r>
      <w:r w:rsidR="0097797D" w:rsidRPr="0056488D">
        <w:rPr>
          <w:rFonts w:eastAsiaTheme="majorEastAsia" w:cs="Arial"/>
        </w:rPr>
        <w:t xml:space="preserve">alongside the levy structure </w:t>
      </w:r>
      <w:r w:rsidR="00B90123" w:rsidRPr="0056488D">
        <w:rPr>
          <w:rFonts w:eastAsiaTheme="majorEastAsia" w:cs="Arial"/>
        </w:rPr>
        <w:t xml:space="preserve">for </w:t>
      </w:r>
      <w:proofErr w:type="gramStart"/>
      <w:r w:rsidR="00B90123" w:rsidRPr="0056488D">
        <w:rPr>
          <w:rFonts w:eastAsiaTheme="majorEastAsia" w:cs="Arial"/>
        </w:rPr>
        <w:t>a number of</w:t>
      </w:r>
      <w:proofErr w:type="gramEnd"/>
      <w:r w:rsidR="00B90123" w:rsidRPr="0056488D">
        <w:rPr>
          <w:rFonts w:eastAsiaTheme="majorEastAsia" w:cs="Arial"/>
        </w:rPr>
        <w:t xml:space="preserve"> reasons</w:t>
      </w:r>
      <w:r w:rsidR="000C5952" w:rsidRPr="0056488D">
        <w:rPr>
          <w:rFonts w:eastAsiaTheme="majorEastAsia" w:cs="Arial"/>
        </w:rPr>
        <w:t xml:space="preserve">. </w:t>
      </w:r>
      <w:r w:rsidR="00916065" w:rsidRPr="0056488D">
        <w:rPr>
          <w:rFonts w:eastAsiaTheme="majorEastAsia" w:cs="Arial"/>
        </w:rPr>
        <w:t xml:space="preserve">If </w:t>
      </w:r>
      <w:r w:rsidR="00C03D57" w:rsidRPr="0056488D">
        <w:rPr>
          <w:rFonts w:eastAsiaTheme="majorEastAsia" w:cs="Arial"/>
        </w:rPr>
        <w:t xml:space="preserve">we </w:t>
      </w:r>
      <w:r w:rsidR="00916065" w:rsidRPr="0056488D">
        <w:rPr>
          <w:rFonts w:eastAsiaTheme="majorEastAsia" w:cs="Arial"/>
        </w:rPr>
        <w:t xml:space="preserve">were to </w:t>
      </w:r>
      <w:r w:rsidR="003F42F8" w:rsidRPr="0056488D">
        <w:rPr>
          <w:rFonts w:eastAsiaTheme="majorEastAsia" w:cs="Arial"/>
        </w:rPr>
        <w:t xml:space="preserve">take on this role, there </w:t>
      </w:r>
      <w:r w:rsidR="009C674D" w:rsidRPr="0056488D">
        <w:rPr>
          <w:rFonts w:eastAsiaTheme="majorEastAsia" w:cs="Arial"/>
        </w:rPr>
        <w:t xml:space="preserve">could be a perception that the Commission would or could conduct compliance and enforcement activity </w:t>
      </w:r>
      <w:proofErr w:type="gramStart"/>
      <w:r w:rsidR="009C674D" w:rsidRPr="0056488D">
        <w:rPr>
          <w:rFonts w:eastAsiaTheme="majorEastAsia" w:cs="Arial"/>
        </w:rPr>
        <w:t>in order</w:t>
      </w:r>
      <w:r w:rsidR="0056488D" w:rsidRPr="0056488D">
        <w:rPr>
          <w:rFonts w:eastAsiaTheme="majorEastAsia" w:cs="Arial"/>
        </w:rPr>
        <w:t xml:space="preserve"> </w:t>
      </w:r>
      <w:r w:rsidR="009C674D" w:rsidRPr="0056488D">
        <w:rPr>
          <w:rFonts w:eastAsiaTheme="majorEastAsia" w:cs="Arial"/>
        </w:rPr>
        <w:t>to</w:t>
      </w:r>
      <w:proofErr w:type="gramEnd"/>
      <w:r w:rsidR="009C674D" w:rsidRPr="0056488D">
        <w:rPr>
          <w:rFonts w:eastAsiaTheme="majorEastAsia" w:cs="Arial"/>
        </w:rPr>
        <w:t xml:space="preserve"> increase revenue </w:t>
      </w:r>
      <w:r w:rsidR="005F28B1">
        <w:rPr>
          <w:rFonts w:eastAsiaTheme="majorEastAsia" w:cs="Arial"/>
        </w:rPr>
        <w:t xml:space="preserve">through regulatory settlements </w:t>
      </w:r>
      <w:r w:rsidR="009C674D" w:rsidRPr="0056488D">
        <w:rPr>
          <w:rFonts w:eastAsiaTheme="majorEastAsia" w:cs="Arial"/>
        </w:rPr>
        <w:t>for research</w:t>
      </w:r>
      <w:r w:rsidR="005F28B1">
        <w:rPr>
          <w:rFonts w:eastAsiaTheme="majorEastAsia" w:cs="Arial"/>
        </w:rPr>
        <w:t xml:space="preserve"> (</w:t>
      </w:r>
      <w:r w:rsidR="00C03D57" w:rsidRPr="0056488D">
        <w:rPr>
          <w:rFonts w:eastAsiaTheme="majorEastAsia" w:cs="Arial"/>
        </w:rPr>
        <w:t>for example</w:t>
      </w:r>
      <w:r w:rsidR="005F28B1">
        <w:rPr>
          <w:rFonts w:eastAsiaTheme="majorEastAsia" w:cs="Arial"/>
        </w:rPr>
        <w:t>)</w:t>
      </w:r>
      <w:r w:rsidR="0056488D" w:rsidRPr="0056488D">
        <w:rPr>
          <w:rFonts w:eastAsiaTheme="majorEastAsia" w:cs="Arial"/>
        </w:rPr>
        <w:t xml:space="preserve">. </w:t>
      </w:r>
      <w:r w:rsidR="005F28B1">
        <w:rPr>
          <w:rFonts w:eastAsiaTheme="majorEastAsia" w:cs="Arial"/>
        </w:rPr>
        <w:t xml:space="preserve">The Commission </w:t>
      </w:r>
      <w:r w:rsidR="009C674D" w:rsidRPr="0056488D">
        <w:rPr>
          <w:rFonts w:eastAsiaTheme="majorEastAsia" w:cs="Arial"/>
        </w:rPr>
        <w:t>already receive</w:t>
      </w:r>
      <w:r w:rsidR="005F28B1">
        <w:rPr>
          <w:rFonts w:eastAsiaTheme="majorEastAsia" w:cs="Arial"/>
        </w:rPr>
        <w:t>s</w:t>
      </w:r>
      <w:r w:rsidR="009C674D" w:rsidRPr="0056488D">
        <w:rPr>
          <w:rFonts w:eastAsiaTheme="majorEastAsia" w:cs="Arial"/>
        </w:rPr>
        <w:t xml:space="preserve"> </w:t>
      </w:r>
      <w:r w:rsidR="0056488D" w:rsidRPr="0056488D">
        <w:rPr>
          <w:rFonts w:eastAsiaTheme="majorEastAsia" w:cs="Arial"/>
        </w:rPr>
        <w:t xml:space="preserve">some </w:t>
      </w:r>
      <w:r w:rsidR="009C674D" w:rsidRPr="0056488D">
        <w:rPr>
          <w:rFonts w:eastAsiaTheme="majorEastAsia" w:cs="Arial"/>
        </w:rPr>
        <w:t xml:space="preserve">funds under the </w:t>
      </w:r>
      <w:r w:rsidR="0056488D" w:rsidRPr="0056488D">
        <w:rPr>
          <w:rFonts w:eastAsiaTheme="majorEastAsia" w:cs="Arial"/>
        </w:rPr>
        <w:t xml:space="preserve">statutory </w:t>
      </w:r>
      <w:r w:rsidR="009C674D" w:rsidRPr="0056488D">
        <w:rPr>
          <w:rFonts w:eastAsiaTheme="majorEastAsia" w:cs="Arial"/>
        </w:rPr>
        <w:t xml:space="preserve">levy for </w:t>
      </w:r>
      <w:proofErr w:type="gramStart"/>
      <w:r w:rsidR="009C674D" w:rsidRPr="0056488D">
        <w:rPr>
          <w:rFonts w:eastAsiaTheme="majorEastAsia" w:cs="Arial"/>
        </w:rPr>
        <w:t>research</w:t>
      </w:r>
      <w:proofErr w:type="gramEnd"/>
      <w:r w:rsidR="009C674D" w:rsidRPr="0056488D">
        <w:rPr>
          <w:rFonts w:eastAsiaTheme="majorEastAsia" w:cs="Arial"/>
        </w:rPr>
        <w:t xml:space="preserve"> and we should be required to make the case under the </w:t>
      </w:r>
      <w:r w:rsidR="005F28B1">
        <w:rPr>
          <w:rFonts w:eastAsiaTheme="majorEastAsia" w:cs="Arial"/>
        </w:rPr>
        <w:t xml:space="preserve">formal </w:t>
      </w:r>
      <w:r w:rsidR="009C674D" w:rsidRPr="0056488D">
        <w:rPr>
          <w:rFonts w:eastAsiaTheme="majorEastAsia" w:cs="Arial"/>
        </w:rPr>
        <w:t>levy structures for research funding, to ensure that research activity is coordinated and shared via the levy structures or via our regulatory budgetary procedures.</w:t>
      </w:r>
    </w:p>
    <w:p w14:paraId="60BEC8FF" w14:textId="77777777" w:rsidR="008E5DDE" w:rsidRDefault="008E5DDE" w:rsidP="00917279">
      <w:pPr>
        <w:spacing w:after="0" w:line="240" w:lineRule="auto"/>
        <w:rPr>
          <w:rFonts w:eastAsiaTheme="majorEastAsia" w:cs="Arial"/>
        </w:rPr>
      </w:pPr>
    </w:p>
    <w:p w14:paraId="01D79D64" w14:textId="61F074D4" w:rsidR="00917279" w:rsidRPr="00772C49" w:rsidRDefault="009075C4" w:rsidP="00917279">
      <w:pPr>
        <w:spacing w:after="0" w:line="240" w:lineRule="auto"/>
        <w:rPr>
          <w:rFonts w:eastAsiaTheme="majorEastAsia" w:cs="Arial"/>
        </w:rPr>
      </w:pPr>
      <w:r w:rsidRPr="00772C49">
        <w:rPr>
          <w:rFonts w:eastAsiaTheme="majorEastAsia" w:cs="Arial"/>
        </w:rPr>
        <w:t xml:space="preserve">This </w:t>
      </w:r>
      <w:r w:rsidR="00917279" w:rsidRPr="00772C49">
        <w:rPr>
          <w:rFonts w:eastAsiaTheme="majorEastAsia" w:cs="Arial"/>
        </w:rPr>
        <w:t xml:space="preserve">means that </w:t>
      </w:r>
      <w:r w:rsidR="005D2220">
        <w:rPr>
          <w:rFonts w:eastAsiaTheme="majorEastAsia" w:cs="Arial"/>
        </w:rPr>
        <w:t xml:space="preserve">we consider that </w:t>
      </w:r>
      <w:r w:rsidR="00917279" w:rsidRPr="00772C49">
        <w:rPr>
          <w:rFonts w:eastAsiaTheme="majorEastAsia" w:cs="Arial"/>
        </w:rPr>
        <w:t xml:space="preserve">the </w:t>
      </w:r>
      <w:r w:rsidR="005D2220">
        <w:rPr>
          <w:rFonts w:eastAsiaTheme="majorEastAsia" w:cs="Arial"/>
        </w:rPr>
        <w:t>most</w:t>
      </w:r>
      <w:r w:rsidR="005D2220" w:rsidRPr="00772C49">
        <w:rPr>
          <w:rFonts w:eastAsiaTheme="majorEastAsia" w:cs="Arial"/>
        </w:rPr>
        <w:t xml:space="preserve"> </w:t>
      </w:r>
      <w:r w:rsidR="00917279" w:rsidRPr="00772C49">
        <w:rPr>
          <w:rFonts w:eastAsiaTheme="majorEastAsia" w:cs="Arial"/>
        </w:rPr>
        <w:t>viable</w:t>
      </w:r>
      <w:r w:rsidR="005D2220">
        <w:rPr>
          <w:rFonts w:eastAsiaTheme="majorEastAsia" w:cs="Arial"/>
        </w:rPr>
        <w:t xml:space="preserve"> and appropriate</w:t>
      </w:r>
      <w:r w:rsidR="00917279" w:rsidRPr="00772C49">
        <w:rPr>
          <w:rFonts w:eastAsiaTheme="majorEastAsia" w:cs="Arial"/>
        </w:rPr>
        <w:t xml:space="preserve"> option is to propose that </w:t>
      </w:r>
      <w:r w:rsidRPr="00772C49">
        <w:rPr>
          <w:rFonts w:eastAsiaTheme="majorEastAsia" w:cs="Arial"/>
        </w:rPr>
        <w:t xml:space="preserve">any </w:t>
      </w:r>
      <w:r w:rsidR="00917279" w:rsidRPr="00772C49">
        <w:rPr>
          <w:rFonts w:eastAsiaTheme="majorEastAsia" w:cs="Arial"/>
        </w:rPr>
        <w:t>future regulatory settlements are paid directly to the Consolidated Fund.</w:t>
      </w:r>
    </w:p>
    <w:p w14:paraId="56946684" w14:textId="77777777" w:rsidR="00D43C6C" w:rsidRPr="00E46DF4" w:rsidRDefault="00D43C6C" w:rsidP="00E952F1">
      <w:pPr>
        <w:spacing w:after="0" w:line="240" w:lineRule="auto"/>
        <w:rPr>
          <w:rFonts w:eastAsiaTheme="majorEastAsia" w:cs="Arial"/>
        </w:rPr>
      </w:pPr>
    </w:p>
    <w:p w14:paraId="4D896325" w14:textId="223AF6BC" w:rsidR="00F129EE" w:rsidRPr="00E46DF4" w:rsidRDefault="00DD71FE" w:rsidP="00F129EE">
      <w:pPr>
        <w:rPr>
          <w:b/>
          <w:bCs/>
        </w:rPr>
      </w:pPr>
      <w:r w:rsidRPr="00E46DF4">
        <w:rPr>
          <w:b/>
          <w:bCs/>
        </w:rPr>
        <w:t xml:space="preserve">Proposal </w:t>
      </w:r>
    </w:p>
    <w:p w14:paraId="4A795B5C" w14:textId="71F1A442" w:rsidR="0052112D" w:rsidRPr="00772C49" w:rsidRDefault="0052112D" w:rsidP="0052112D">
      <w:pPr>
        <w:spacing w:after="0" w:line="240" w:lineRule="auto"/>
        <w:rPr>
          <w:rFonts w:cs="Arial"/>
          <w14:textOutline w14:w="9525" w14:cap="rnd" w14:cmpd="sng" w14:algn="ctr">
            <w14:noFill/>
            <w14:prstDash w14:val="solid"/>
            <w14:bevel/>
          </w14:textOutline>
        </w:rPr>
      </w:pPr>
      <w:r w:rsidRPr="00772C49">
        <w:rPr>
          <w:rFonts w:cs="Arial"/>
          <w14:textOutline w14:w="9525" w14:cap="rnd" w14:cmpd="sng" w14:algn="ctr">
            <w14:noFill/>
            <w14:prstDash w14:val="solid"/>
            <w14:bevel/>
          </w14:textOutline>
        </w:rPr>
        <w:t xml:space="preserve">We have been clear that any replacement of the current </w:t>
      </w:r>
      <w:r>
        <w:rPr>
          <w:rFonts w:cs="Arial"/>
          <w14:textOutline w14:w="9525" w14:cap="rnd" w14:cmpd="sng" w14:algn="ctr">
            <w14:noFill/>
            <w14:prstDash w14:val="solid"/>
            <w14:bevel/>
          </w14:textOutline>
        </w:rPr>
        <w:t xml:space="preserve">default </w:t>
      </w:r>
      <w:r w:rsidRPr="00772C49">
        <w:rPr>
          <w:rFonts w:cs="Arial"/>
          <w14:textOutline w14:w="9525" w14:cap="rnd" w14:cmpd="sng" w14:algn="ctr">
            <w14:noFill/>
            <w14:prstDash w14:val="solid"/>
            <w14:bevel/>
          </w14:textOutline>
        </w:rPr>
        <w:t xml:space="preserve">destination for regulatory settlements must ensure that a central body is responsible for making decisions on the use of </w:t>
      </w:r>
      <w:r w:rsidR="00A014B6">
        <w:rPr>
          <w:rFonts w:cs="Arial"/>
          <w14:textOutline w14:w="9525" w14:cap="rnd" w14:cmpd="sng" w14:algn="ctr">
            <w14:noFill/>
            <w14:prstDash w14:val="solid"/>
            <w14:bevel/>
          </w14:textOutline>
        </w:rPr>
        <w:t xml:space="preserve">such </w:t>
      </w:r>
      <w:r w:rsidRPr="00772C49">
        <w:rPr>
          <w:rFonts w:cs="Arial"/>
          <w14:textOutline w14:w="9525" w14:cap="rnd" w14:cmpd="sng" w14:algn="ctr">
            <w14:noFill/>
            <w14:prstDash w14:val="solid"/>
            <w14:bevel/>
          </w14:textOutline>
        </w:rPr>
        <w:t xml:space="preserve">funds (whether for </w:t>
      </w:r>
      <w:r w:rsidR="000769FD">
        <w:rPr>
          <w:rFonts w:cs="Arial"/>
          <w14:textOutline w14:w="9525" w14:cap="rnd" w14:cmpd="sng" w14:algn="ctr">
            <w14:noFill/>
            <w14:prstDash w14:val="solid"/>
            <w14:bevel/>
          </w14:textOutline>
        </w:rPr>
        <w:t xml:space="preserve">tackling </w:t>
      </w:r>
      <w:r w:rsidRPr="00772C49">
        <w:rPr>
          <w:rFonts w:cs="Arial"/>
          <w14:textOutline w14:w="9525" w14:cap="rnd" w14:cmpd="sng" w14:algn="ctr">
            <w14:noFill/>
            <w14:prstDash w14:val="solid"/>
            <w14:bevel/>
          </w14:textOutline>
        </w:rPr>
        <w:t>gambling</w:t>
      </w:r>
      <w:r w:rsidR="000769FD">
        <w:rPr>
          <w:rFonts w:cs="Arial"/>
          <w14:textOutline w14:w="9525" w14:cap="rnd" w14:cmpd="sng" w14:algn="ctr">
            <w14:noFill/>
            <w14:prstDash w14:val="solid"/>
            <w14:bevel/>
          </w14:textOutline>
        </w:rPr>
        <w:t>-related harm</w:t>
      </w:r>
      <w:r w:rsidRPr="00772C49">
        <w:rPr>
          <w:rFonts w:cs="Arial"/>
          <w14:textOutline w14:w="9525" w14:cap="rnd" w14:cmpd="sng" w14:algn="ctr">
            <w14:noFill/>
            <w14:prstDash w14:val="solid"/>
            <w14:bevel/>
          </w14:textOutline>
        </w:rPr>
        <w:t xml:space="preserve"> or </w:t>
      </w:r>
      <w:r w:rsidR="000769FD">
        <w:rPr>
          <w:rFonts w:cs="Arial"/>
          <w14:textOutline w14:w="9525" w14:cap="rnd" w14:cmpd="sng" w14:algn="ctr">
            <w14:noFill/>
            <w14:prstDash w14:val="solid"/>
            <w14:bevel/>
          </w14:textOutline>
        </w:rPr>
        <w:t xml:space="preserve">for </w:t>
      </w:r>
      <w:r w:rsidRPr="00772C49">
        <w:rPr>
          <w:rFonts w:cs="Arial"/>
          <w14:textOutline w14:w="9525" w14:cap="rnd" w14:cmpd="sng" w14:algn="ctr">
            <w14:noFill/>
            <w14:prstDash w14:val="solid"/>
            <w14:bevel/>
          </w14:textOutline>
        </w:rPr>
        <w:lastRenderedPageBreak/>
        <w:t xml:space="preserve">other purposes), and that effective commissioning and evaluation and alignment with the levy system is in place. This is beyond the Commission’s </w:t>
      </w:r>
      <w:r>
        <w:rPr>
          <w:rFonts w:cs="Arial"/>
          <w14:textOutline w14:w="9525" w14:cap="rnd" w14:cmpd="sng" w14:algn="ctr">
            <w14:noFill/>
            <w14:prstDash w14:val="solid"/>
            <w14:bevel/>
          </w14:textOutline>
        </w:rPr>
        <w:t xml:space="preserve">regulatory </w:t>
      </w:r>
      <w:r w:rsidRPr="00772C49">
        <w:rPr>
          <w:rFonts w:cs="Arial"/>
          <w14:textOutline w14:w="9525" w14:cap="rnd" w14:cmpd="sng" w14:algn="ctr">
            <w14:noFill/>
            <w14:prstDash w14:val="solid"/>
            <w14:bevel/>
          </w14:textOutline>
        </w:rPr>
        <w:t xml:space="preserve">role and is the role of </w:t>
      </w:r>
      <w:r w:rsidR="00050A41">
        <w:rPr>
          <w:rFonts w:cs="Arial"/>
          <w14:textOutline w14:w="9525" w14:cap="rnd" w14:cmpd="sng" w14:algn="ctr">
            <w14:noFill/>
            <w14:prstDash w14:val="solid"/>
            <w14:bevel/>
          </w14:textOutline>
        </w:rPr>
        <w:t xml:space="preserve">the </w:t>
      </w:r>
      <w:r w:rsidR="00091B14">
        <w:rPr>
          <w:rFonts w:cs="Arial"/>
          <w14:textOutline w14:w="9525" w14:cap="rnd" w14:cmpd="sng" w14:algn="ctr">
            <w14:noFill/>
            <w14:prstDash w14:val="solid"/>
            <w14:bevel/>
          </w14:textOutline>
        </w:rPr>
        <w:t>Government</w:t>
      </w:r>
      <w:r w:rsidRPr="00772C49">
        <w:rPr>
          <w:rFonts w:cs="Arial"/>
          <w14:textOutline w14:w="9525" w14:cap="rnd" w14:cmpd="sng" w14:algn="ctr">
            <w14:noFill/>
            <w14:prstDash w14:val="solid"/>
            <w14:bevel/>
          </w14:textOutline>
        </w:rPr>
        <w:t xml:space="preserve"> and the levy</w:t>
      </w:r>
      <w:r w:rsidR="00050A41">
        <w:rPr>
          <w:rFonts w:cs="Arial"/>
          <w14:textOutline w14:w="9525" w14:cap="rnd" w14:cmpd="sng" w14:algn="ctr">
            <w14:noFill/>
            <w14:prstDash w14:val="solid"/>
            <w14:bevel/>
          </w14:textOutline>
        </w:rPr>
        <w:t>’s commissioning</w:t>
      </w:r>
      <w:r w:rsidRPr="00772C49">
        <w:rPr>
          <w:rFonts w:cs="Arial"/>
          <w14:textOutline w14:w="9525" w14:cap="rnd" w14:cmpd="sng" w14:algn="ctr">
            <w14:noFill/>
            <w14:prstDash w14:val="solid"/>
            <w14:bevel/>
          </w14:textOutline>
        </w:rPr>
        <w:t xml:space="preserve"> bodies. </w:t>
      </w:r>
    </w:p>
    <w:p w14:paraId="2559EC10" w14:textId="77777777" w:rsidR="0052112D" w:rsidRDefault="0052112D" w:rsidP="00A07B34">
      <w:pPr>
        <w:spacing w:after="0" w:line="240" w:lineRule="auto"/>
      </w:pPr>
    </w:p>
    <w:p w14:paraId="6853941A" w14:textId="7C7A1C5F" w:rsidR="00D26B69" w:rsidRDefault="00F129EE" w:rsidP="00A07B34">
      <w:pPr>
        <w:spacing w:after="0" w:line="240" w:lineRule="auto"/>
        <w:rPr>
          <w:rFonts w:eastAsiaTheme="majorEastAsia" w:cs="Arial"/>
        </w:rPr>
      </w:pPr>
      <w:r w:rsidRPr="00E46DF4">
        <w:t xml:space="preserve">We are consulting on </w:t>
      </w:r>
      <w:r w:rsidR="00D26B69" w:rsidRPr="00E46DF4">
        <w:rPr>
          <w:rFonts w:eastAsiaTheme="majorEastAsia" w:cs="Arial"/>
        </w:rPr>
        <w:t xml:space="preserve">amending section </w:t>
      </w:r>
      <w:r w:rsidR="00A07B34">
        <w:rPr>
          <w:rFonts w:eastAsiaTheme="majorEastAsia" w:cs="Arial"/>
        </w:rPr>
        <w:t xml:space="preserve">2.39 </w:t>
      </w:r>
      <w:r w:rsidR="00D26B69" w:rsidRPr="00E46DF4">
        <w:rPr>
          <w:rFonts w:eastAsiaTheme="majorEastAsia" w:cs="Arial"/>
        </w:rPr>
        <w:t xml:space="preserve">of the </w:t>
      </w:r>
      <w:hyperlink r:id="rId29" w:history="1">
        <w:r w:rsidR="009075C4" w:rsidRPr="00E46DF4">
          <w:rPr>
            <w:rStyle w:val="Hyperlink"/>
          </w:rPr>
          <w:t>Statement of principles for determining financial penalties (opens in a new tab)</w:t>
        </w:r>
      </w:hyperlink>
      <w:r w:rsidR="00D26B69" w:rsidRPr="00E46DF4">
        <w:rPr>
          <w:rFonts w:eastAsiaTheme="majorEastAsia" w:cs="Arial"/>
        </w:rPr>
        <w:t xml:space="preserve"> to propose that in future regulatory settlement</w:t>
      </w:r>
      <w:r w:rsidR="00315CB0">
        <w:rPr>
          <w:rFonts w:eastAsiaTheme="majorEastAsia" w:cs="Arial"/>
        </w:rPr>
        <w:t>s are paid</w:t>
      </w:r>
      <w:r w:rsidR="00D26B69" w:rsidRPr="00E46DF4">
        <w:rPr>
          <w:rFonts w:eastAsiaTheme="majorEastAsia" w:cs="Arial"/>
        </w:rPr>
        <w:t xml:space="preserve"> directly to the </w:t>
      </w:r>
      <w:r w:rsidR="00315CB0">
        <w:rPr>
          <w:rFonts w:eastAsiaTheme="majorEastAsia" w:cs="Arial"/>
        </w:rPr>
        <w:t>C</w:t>
      </w:r>
      <w:r w:rsidR="00D26B69" w:rsidRPr="00E46DF4">
        <w:rPr>
          <w:rFonts w:eastAsiaTheme="majorEastAsia" w:cs="Arial"/>
        </w:rPr>
        <w:t xml:space="preserve">onsolidated </w:t>
      </w:r>
      <w:r w:rsidR="00315CB0">
        <w:rPr>
          <w:rFonts w:eastAsiaTheme="majorEastAsia" w:cs="Arial"/>
        </w:rPr>
        <w:t>F</w:t>
      </w:r>
      <w:r w:rsidR="00D26B69" w:rsidRPr="00E46DF4">
        <w:rPr>
          <w:rFonts w:eastAsiaTheme="majorEastAsia" w:cs="Arial"/>
        </w:rPr>
        <w:t>und</w:t>
      </w:r>
      <w:r w:rsidR="00B246E9">
        <w:rPr>
          <w:rFonts w:eastAsiaTheme="majorEastAsia" w:cs="Arial"/>
        </w:rPr>
        <w:t>, aligning with the process that is in place for financial penalties as set out in the Gambling Act 2005</w:t>
      </w:r>
      <w:r w:rsidR="00315CB0">
        <w:rPr>
          <w:rFonts w:eastAsiaTheme="majorEastAsia" w:cs="Arial"/>
        </w:rPr>
        <w:t xml:space="preserve">. This would mean that </w:t>
      </w:r>
      <w:r w:rsidR="0001344F">
        <w:rPr>
          <w:rFonts w:eastAsiaTheme="majorEastAsia" w:cs="Arial"/>
        </w:rPr>
        <w:t xml:space="preserve">the </w:t>
      </w:r>
      <w:r w:rsidR="00091B14">
        <w:rPr>
          <w:rFonts w:eastAsiaTheme="majorEastAsia" w:cs="Arial"/>
        </w:rPr>
        <w:t>Government</w:t>
      </w:r>
      <w:r w:rsidR="00D26B69" w:rsidRPr="00E46DF4">
        <w:rPr>
          <w:rFonts w:eastAsiaTheme="majorEastAsia" w:cs="Arial"/>
        </w:rPr>
        <w:t xml:space="preserve"> </w:t>
      </w:r>
      <w:r w:rsidR="00315CB0">
        <w:rPr>
          <w:rFonts w:eastAsiaTheme="majorEastAsia" w:cs="Arial"/>
        </w:rPr>
        <w:t>would be responsible for</w:t>
      </w:r>
      <w:r w:rsidR="00D26B69" w:rsidRPr="00E46DF4">
        <w:rPr>
          <w:rFonts w:eastAsiaTheme="majorEastAsia" w:cs="Arial"/>
        </w:rPr>
        <w:t xml:space="preserve"> mak</w:t>
      </w:r>
      <w:r w:rsidR="00315CB0">
        <w:rPr>
          <w:rFonts w:eastAsiaTheme="majorEastAsia" w:cs="Arial"/>
        </w:rPr>
        <w:t xml:space="preserve">ing </w:t>
      </w:r>
      <w:r w:rsidR="00D26B69" w:rsidRPr="00E46DF4">
        <w:rPr>
          <w:rFonts w:eastAsiaTheme="majorEastAsia" w:cs="Arial"/>
        </w:rPr>
        <w:t xml:space="preserve">decisions on the use of such funds whether for </w:t>
      </w:r>
      <w:r w:rsidR="0001344F">
        <w:rPr>
          <w:rFonts w:eastAsiaTheme="majorEastAsia" w:cs="Arial"/>
        </w:rPr>
        <w:t xml:space="preserve">tackling </w:t>
      </w:r>
      <w:r w:rsidR="00D26B69" w:rsidRPr="00E46DF4">
        <w:rPr>
          <w:rFonts w:eastAsiaTheme="majorEastAsia" w:cs="Arial"/>
        </w:rPr>
        <w:t>gambling</w:t>
      </w:r>
      <w:r w:rsidR="0001344F">
        <w:rPr>
          <w:rFonts w:eastAsiaTheme="majorEastAsia" w:cs="Arial"/>
        </w:rPr>
        <w:t>-related harm</w:t>
      </w:r>
      <w:r w:rsidR="00D26B69" w:rsidRPr="00E46DF4">
        <w:rPr>
          <w:rFonts w:eastAsiaTheme="majorEastAsia" w:cs="Arial"/>
        </w:rPr>
        <w:t xml:space="preserve"> or </w:t>
      </w:r>
      <w:r w:rsidR="0001344F">
        <w:rPr>
          <w:rFonts w:eastAsiaTheme="majorEastAsia" w:cs="Arial"/>
        </w:rPr>
        <w:t xml:space="preserve">for </w:t>
      </w:r>
      <w:r w:rsidR="00D26B69" w:rsidRPr="00E46DF4">
        <w:rPr>
          <w:rFonts w:eastAsiaTheme="majorEastAsia" w:cs="Arial"/>
        </w:rPr>
        <w:t>other purposes.</w:t>
      </w:r>
    </w:p>
    <w:p w14:paraId="4C4A6898" w14:textId="77777777" w:rsidR="007A1C63" w:rsidRDefault="007A1C63" w:rsidP="00A07B34">
      <w:pPr>
        <w:spacing w:after="0" w:line="240" w:lineRule="auto"/>
        <w:rPr>
          <w:rFonts w:eastAsiaTheme="majorEastAsia" w:cs="Arial"/>
        </w:rPr>
      </w:pPr>
    </w:p>
    <w:p w14:paraId="5868060F" w14:textId="45644785" w:rsidR="0098403B" w:rsidRDefault="0024602F" w:rsidP="00A07B34">
      <w:pPr>
        <w:spacing w:after="0" w:line="240" w:lineRule="auto"/>
        <w:rPr>
          <w:rFonts w:cs="Arial"/>
        </w:rPr>
      </w:pPr>
      <w:r w:rsidRPr="0024602F">
        <w:rPr>
          <w:rFonts w:eastAsiaTheme="majorEastAsia" w:cs="Arial"/>
        </w:rPr>
        <w:t xml:space="preserve">We are not proposing any changes to the process and criteria for considering the appropriateness of a regulatory settlement, such as whether it includes a financial aspect or any divestment as part of our regulatory enforcement </w:t>
      </w:r>
      <w:r w:rsidR="006064BB">
        <w:rPr>
          <w:rFonts w:eastAsiaTheme="majorEastAsia" w:cs="Arial"/>
        </w:rPr>
        <w:t>a</w:t>
      </w:r>
      <w:r w:rsidRPr="0024602F">
        <w:rPr>
          <w:rFonts w:eastAsiaTheme="majorEastAsia" w:cs="Arial"/>
        </w:rPr>
        <w:t>ctivity. The position as set out in </w:t>
      </w:r>
      <w:hyperlink r:id="rId30" w:tooltip="https://www.gamblingcommission.gov.uk/policy/licensing-compliance-and-enforcement-under-the-gambling-act-2005/5-regulatory-enforcement" w:history="1">
        <w:r w:rsidRPr="0024602F">
          <w:rPr>
            <w:rStyle w:val="Hyperlink"/>
            <w:rFonts w:eastAsiaTheme="majorEastAsia" w:cs="Arial"/>
          </w:rPr>
          <w:t>section 5 of our Licensing, Compliance and Enforcement Policy Statement</w:t>
        </w:r>
      </w:hyperlink>
      <w:r w:rsidRPr="0024602F">
        <w:rPr>
          <w:rFonts w:eastAsiaTheme="majorEastAsia" w:cs="Arial"/>
        </w:rPr>
        <w:t> (opens in new tab) remains unchanged.</w:t>
      </w:r>
    </w:p>
    <w:p w14:paraId="4850FA31" w14:textId="77777777" w:rsidR="0024602F" w:rsidRDefault="0024602F" w:rsidP="00A07B34">
      <w:pPr>
        <w:spacing w:after="0" w:line="240" w:lineRule="auto"/>
        <w:rPr>
          <w:rFonts w:eastAsiaTheme="majorEastAsia" w:cs="Arial"/>
        </w:rPr>
      </w:pPr>
    </w:p>
    <w:p w14:paraId="55772194" w14:textId="2A08CE28" w:rsidR="003D6C4F" w:rsidRDefault="00BE40D7" w:rsidP="003D6C4F">
      <w:pPr>
        <w:spacing w:after="0" w:line="240" w:lineRule="auto"/>
        <w:rPr>
          <w:rFonts w:cs="Arial"/>
        </w:rPr>
      </w:pPr>
      <w:r w:rsidRPr="3443E819">
        <w:rPr>
          <w:rFonts w:eastAsiaTheme="majorEastAsia" w:cs="Arial"/>
        </w:rPr>
        <w:t xml:space="preserve">We understand that </w:t>
      </w:r>
      <w:r w:rsidR="009131BF" w:rsidRPr="3443E819">
        <w:rPr>
          <w:rFonts w:eastAsiaTheme="majorEastAsia" w:cs="Arial"/>
        </w:rPr>
        <w:t>some stakeholders</w:t>
      </w:r>
      <w:r w:rsidR="0090020A" w:rsidRPr="3443E819">
        <w:rPr>
          <w:rFonts w:eastAsiaTheme="majorEastAsia" w:cs="Arial"/>
        </w:rPr>
        <w:t xml:space="preserve"> may </w:t>
      </w:r>
      <w:r w:rsidR="009131BF" w:rsidRPr="3443E819">
        <w:rPr>
          <w:rFonts w:eastAsiaTheme="majorEastAsia" w:cs="Arial"/>
        </w:rPr>
        <w:t xml:space="preserve">feel that regulatory settlement funds should be </w:t>
      </w:r>
      <w:r w:rsidR="009131BF" w:rsidRPr="3443E819">
        <w:rPr>
          <w:rFonts w:cs="Arial"/>
        </w:rPr>
        <w:t xml:space="preserve">used to </w:t>
      </w:r>
      <w:r w:rsidR="00893C6F">
        <w:rPr>
          <w:rFonts w:cs="Arial"/>
        </w:rPr>
        <w:t>mitigate any</w:t>
      </w:r>
      <w:r w:rsidR="009131BF" w:rsidRPr="3443E819">
        <w:rPr>
          <w:rFonts w:cs="Arial"/>
        </w:rPr>
        <w:t xml:space="preserve"> harm created by </w:t>
      </w:r>
      <w:r w:rsidR="0090020A" w:rsidRPr="3443E819">
        <w:rPr>
          <w:rFonts w:cs="Arial"/>
        </w:rPr>
        <w:t>a gambling licensee</w:t>
      </w:r>
      <w:r w:rsidR="009131BF" w:rsidRPr="3443E819">
        <w:rPr>
          <w:rFonts w:cs="Arial"/>
        </w:rPr>
        <w:t xml:space="preserve"> rather than being sent to the </w:t>
      </w:r>
      <w:r w:rsidR="0090020A" w:rsidRPr="3443E819">
        <w:rPr>
          <w:rFonts w:cs="Arial"/>
        </w:rPr>
        <w:t>C</w:t>
      </w:r>
      <w:r w:rsidR="009131BF" w:rsidRPr="3443E819">
        <w:rPr>
          <w:rFonts w:cs="Arial"/>
        </w:rPr>
        <w:t xml:space="preserve">onsolidated </w:t>
      </w:r>
      <w:r w:rsidR="0090020A" w:rsidRPr="3443E819">
        <w:rPr>
          <w:rFonts w:cs="Arial"/>
        </w:rPr>
        <w:t>F</w:t>
      </w:r>
      <w:r w:rsidR="009131BF" w:rsidRPr="3443E819">
        <w:rPr>
          <w:rFonts w:cs="Arial"/>
        </w:rPr>
        <w:t xml:space="preserve">und, where the use of such funds may not be hypothecated to purposes connected with gambling. </w:t>
      </w:r>
      <w:r w:rsidR="003D6C4F" w:rsidRPr="3443E819">
        <w:rPr>
          <w:rFonts w:cs="Arial"/>
        </w:rPr>
        <w:t>However,</w:t>
      </w:r>
      <w:r w:rsidR="009131BF" w:rsidRPr="3443E819">
        <w:rPr>
          <w:rFonts w:cs="Arial"/>
        </w:rPr>
        <w:t xml:space="preserve"> the new statutory levy system should mean that </w:t>
      </w:r>
      <w:r w:rsidR="00494CD5" w:rsidRPr="3443E819">
        <w:rPr>
          <w:rFonts w:cs="Arial"/>
        </w:rPr>
        <w:t xml:space="preserve">more </w:t>
      </w:r>
      <w:r w:rsidR="009131BF" w:rsidRPr="3443E819">
        <w:rPr>
          <w:rFonts w:cs="Arial"/>
        </w:rPr>
        <w:t xml:space="preserve">funding </w:t>
      </w:r>
      <w:r w:rsidR="002555DD" w:rsidRPr="002555DD">
        <w:rPr>
          <w:rFonts w:cs="Arial"/>
        </w:rPr>
        <w:t>to deliver a sustainable and equitable funding system for research, prevention and treatment of gambling-related harm</w:t>
      </w:r>
      <w:r w:rsidR="001809B2">
        <w:rPr>
          <w:rFonts w:cs="Arial"/>
        </w:rPr>
        <w:t xml:space="preserve"> </w:t>
      </w:r>
      <w:r w:rsidR="009131BF" w:rsidRPr="3443E819">
        <w:rPr>
          <w:rFonts w:cs="Arial"/>
        </w:rPr>
        <w:t xml:space="preserve">is already in </w:t>
      </w:r>
      <w:r w:rsidR="7AE5D255" w:rsidRPr="3443E819">
        <w:rPr>
          <w:rFonts w:cs="Arial"/>
        </w:rPr>
        <w:t xml:space="preserve">place </w:t>
      </w:r>
      <w:r w:rsidR="00494CD5" w:rsidRPr="3443E819">
        <w:rPr>
          <w:rFonts w:cs="Arial"/>
        </w:rPr>
        <w:t xml:space="preserve">and is </w:t>
      </w:r>
      <w:r w:rsidR="00341560" w:rsidRPr="00341560">
        <w:rPr>
          <w:rFonts w:cs="Arial"/>
        </w:rPr>
        <w:t xml:space="preserve">distributed in line with the strategic direction of </w:t>
      </w:r>
      <w:r w:rsidR="00143C4F">
        <w:rPr>
          <w:rFonts w:cs="Arial"/>
        </w:rPr>
        <w:t xml:space="preserve">the </w:t>
      </w:r>
      <w:r w:rsidR="00091B14">
        <w:rPr>
          <w:rFonts w:cs="Arial"/>
        </w:rPr>
        <w:t>Government</w:t>
      </w:r>
      <w:r w:rsidR="00341560" w:rsidRPr="00341560">
        <w:rPr>
          <w:rFonts w:cs="Arial"/>
        </w:rPr>
        <w:t xml:space="preserve"> and commissioned by the </w:t>
      </w:r>
      <w:r w:rsidR="00B6401F">
        <w:rPr>
          <w:rFonts w:cs="Arial"/>
        </w:rPr>
        <w:t>l</w:t>
      </w:r>
      <w:r w:rsidR="009131BF" w:rsidRPr="3443E819">
        <w:rPr>
          <w:rFonts w:cs="Arial"/>
        </w:rPr>
        <w:t>evy</w:t>
      </w:r>
      <w:r w:rsidR="00143C4F">
        <w:rPr>
          <w:rFonts w:cs="Arial"/>
        </w:rPr>
        <w:t>’s commissioning</w:t>
      </w:r>
      <w:r w:rsidR="009131BF" w:rsidRPr="3443E819">
        <w:rPr>
          <w:rFonts w:cs="Arial"/>
        </w:rPr>
        <w:t xml:space="preserve"> bodies</w:t>
      </w:r>
      <w:r w:rsidR="00494CD5" w:rsidRPr="3443E819">
        <w:rPr>
          <w:rFonts w:cs="Arial"/>
        </w:rPr>
        <w:t xml:space="preserve">. </w:t>
      </w:r>
      <w:r w:rsidR="003D6C4F" w:rsidRPr="3443E819">
        <w:rPr>
          <w:rFonts w:cs="Arial"/>
        </w:rPr>
        <w:t xml:space="preserve">In </w:t>
      </w:r>
      <w:r w:rsidR="00B6401F" w:rsidRPr="3443E819">
        <w:rPr>
          <w:rFonts w:cs="Arial"/>
        </w:rPr>
        <w:t>addition,</w:t>
      </w:r>
      <w:r w:rsidR="003D6C4F" w:rsidRPr="3443E819">
        <w:rPr>
          <w:rFonts w:cs="Arial"/>
        </w:rPr>
        <w:t xml:space="preserve"> </w:t>
      </w:r>
      <w:r w:rsidR="00143C4F">
        <w:rPr>
          <w:rFonts w:cs="Arial"/>
        </w:rPr>
        <w:t xml:space="preserve">the </w:t>
      </w:r>
      <w:r w:rsidR="00091B14">
        <w:rPr>
          <w:rFonts w:cs="Arial"/>
        </w:rPr>
        <w:t>Government</w:t>
      </w:r>
      <w:r w:rsidR="003D6C4F" w:rsidRPr="3443E819">
        <w:rPr>
          <w:rFonts w:cs="Arial"/>
        </w:rPr>
        <w:t xml:space="preserve"> can direct funds from the </w:t>
      </w:r>
      <w:r w:rsidR="009658DB">
        <w:rPr>
          <w:rFonts w:cs="Arial"/>
        </w:rPr>
        <w:t>C</w:t>
      </w:r>
      <w:r w:rsidR="003D6C4F" w:rsidRPr="3443E819">
        <w:rPr>
          <w:rFonts w:cs="Arial"/>
        </w:rPr>
        <w:t xml:space="preserve">onsolidated </w:t>
      </w:r>
      <w:r w:rsidR="009658DB">
        <w:rPr>
          <w:rFonts w:cs="Arial"/>
        </w:rPr>
        <w:t>F</w:t>
      </w:r>
      <w:r w:rsidR="003D6C4F" w:rsidRPr="3443E819">
        <w:rPr>
          <w:rFonts w:cs="Arial"/>
        </w:rPr>
        <w:t xml:space="preserve">und for any purpose they </w:t>
      </w:r>
      <w:r w:rsidR="00B6401F" w:rsidRPr="3443E819">
        <w:rPr>
          <w:rFonts w:cs="Arial"/>
        </w:rPr>
        <w:t>wish,</w:t>
      </w:r>
      <w:r w:rsidR="003D6C4F" w:rsidRPr="3443E819">
        <w:rPr>
          <w:rFonts w:cs="Arial"/>
        </w:rPr>
        <w:t xml:space="preserve"> and this could include those connected with gambling. If they choose to do so, the delivery of this work can be commissioned, properly evaluated and aligned to the broader programme of work being conducted under the levy system.</w:t>
      </w:r>
    </w:p>
    <w:p w14:paraId="247D70F9" w14:textId="77777777" w:rsidR="00895222" w:rsidRDefault="00895222" w:rsidP="003D6C4F">
      <w:pPr>
        <w:spacing w:after="0" w:line="240" w:lineRule="auto"/>
        <w:rPr>
          <w:rFonts w:cs="Arial"/>
        </w:rPr>
      </w:pPr>
    </w:p>
    <w:p w14:paraId="60A34450" w14:textId="12E29261" w:rsidR="00800C0E" w:rsidRDefault="00C72911" w:rsidP="00800C0E">
      <w:pPr>
        <w:spacing w:after="0" w:line="240" w:lineRule="auto"/>
        <w:rPr>
          <w:rFonts w:cs="Arial"/>
        </w:rPr>
      </w:pPr>
      <w:r>
        <w:rPr>
          <w:rFonts w:cs="Arial"/>
        </w:rPr>
        <w:t xml:space="preserve">As set out in a </w:t>
      </w:r>
      <w:hyperlink r:id="rId31" w:history="1">
        <w:r w:rsidR="00A75C0F" w:rsidRPr="00A75C0F">
          <w:rPr>
            <w:rStyle w:val="Hyperlink"/>
            <w:rFonts w:cs="Arial"/>
          </w:rPr>
          <w:t>written ministerial statement by Baroness Twycross on 2 December 2025 (opens in new tab)</w:t>
        </w:r>
      </w:hyperlink>
      <w:r w:rsidR="006A4F75">
        <w:rPr>
          <w:rFonts w:cs="Arial"/>
        </w:rPr>
        <w:t xml:space="preserve"> </w:t>
      </w:r>
      <w:r w:rsidR="00800C0E" w:rsidRPr="00800C0E">
        <w:rPr>
          <w:rFonts w:cs="Arial"/>
        </w:rPr>
        <w:t>statutory levy funding</w:t>
      </w:r>
      <w:r w:rsidR="005045AA">
        <w:rPr>
          <w:rFonts w:cs="Arial"/>
        </w:rPr>
        <w:t xml:space="preserve"> (following </w:t>
      </w:r>
      <w:r w:rsidR="00420E40">
        <w:rPr>
          <w:rFonts w:cs="Arial"/>
        </w:rPr>
        <w:t xml:space="preserve">the </w:t>
      </w:r>
      <w:r w:rsidR="005045AA">
        <w:rPr>
          <w:rFonts w:cs="Arial"/>
        </w:rPr>
        <w:t xml:space="preserve">deduction of </w:t>
      </w:r>
      <w:r w:rsidR="00B6401F">
        <w:rPr>
          <w:rFonts w:cs="Arial"/>
        </w:rPr>
        <w:t xml:space="preserve">administrative </w:t>
      </w:r>
      <w:r w:rsidR="005045AA">
        <w:rPr>
          <w:rFonts w:cs="Arial"/>
        </w:rPr>
        <w:t>costs)</w:t>
      </w:r>
      <w:r w:rsidR="00800C0E" w:rsidRPr="00800C0E">
        <w:rPr>
          <w:rFonts w:cs="Arial"/>
        </w:rPr>
        <w:t xml:space="preserve"> will be directed in specific proportions for the purposes of research, prevention and treatment of gambling-related harm</w:t>
      </w:r>
      <w:r w:rsidR="00800C0E">
        <w:rPr>
          <w:rFonts w:cs="Arial"/>
        </w:rPr>
        <w:t xml:space="preserve"> as follows</w:t>
      </w:r>
      <w:r w:rsidR="00800C0E" w:rsidRPr="00800C0E">
        <w:rPr>
          <w:rFonts w:cs="Arial"/>
        </w:rPr>
        <w:t>:</w:t>
      </w:r>
    </w:p>
    <w:p w14:paraId="3BEDC414" w14:textId="77777777" w:rsidR="00800C0E" w:rsidRPr="00800C0E" w:rsidRDefault="00800C0E" w:rsidP="00800C0E">
      <w:pPr>
        <w:spacing w:after="0" w:line="240" w:lineRule="auto"/>
        <w:rPr>
          <w:rFonts w:cs="Arial"/>
        </w:rPr>
      </w:pPr>
    </w:p>
    <w:p w14:paraId="72808DE5" w14:textId="26C485B4" w:rsidR="00800C0E" w:rsidRDefault="00800C0E" w:rsidP="00800C0E">
      <w:pPr>
        <w:numPr>
          <w:ilvl w:val="0"/>
          <w:numId w:val="15"/>
        </w:numPr>
        <w:spacing w:after="0" w:line="240" w:lineRule="auto"/>
        <w:rPr>
          <w:rFonts w:cs="Arial"/>
        </w:rPr>
      </w:pPr>
      <w:r w:rsidRPr="00800C0E">
        <w:rPr>
          <w:rFonts w:cs="Arial"/>
        </w:rPr>
        <w:t>20</w:t>
      </w:r>
      <w:r w:rsidR="0054326D">
        <w:rPr>
          <w:rFonts w:cs="Arial"/>
        </w:rPr>
        <w:t xml:space="preserve"> percent</w:t>
      </w:r>
      <w:r w:rsidRPr="00800C0E">
        <w:rPr>
          <w:rFonts w:cs="Arial"/>
        </w:rPr>
        <w:t xml:space="preserve"> will go to UK Research and Innovation (UKRI) for the establishment of a bespoke Research Programme on Gambling. The levy will provide a dedicated and sustainable injection of funding for </w:t>
      </w:r>
      <w:r w:rsidR="006C27EC" w:rsidRPr="00800C0E">
        <w:rPr>
          <w:rFonts w:cs="Arial"/>
        </w:rPr>
        <w:t>independently commissioned</w:t>
      </w:r>
      <w:r w:rsidRPr="00800C0E">
        <w:rPr>
          <w:rFonts w:cs="Arial"/>
        </w:rPr>
        <w:t xml:space="preserve"> research to inform policy and practice. We </w:t>
      </w:r>
      <w:r w:rsidR="00E9461A">
        <w:rPr>
          <w:rFonts w:cs="Arial"/>
        </w:rPr>
        <w:t xml:space="preserve">understand that </w:t>
      </w:r>
      <w:r w:rsidRPr="00800C0E">
        <w:rPr>
          <w:rFonts w:cs="Arial"/>
        </w:rPr>
        <w:t xml:space="preserve">the formal launch of the UKRI Gambling Harms Research Coordination Centre </w:t>
      </w:r>
      <w:r w:rsidR="00853462">
        <w:rPr>
          <w:rFonts w:cs="Arial"/>
        </w:rPr>
        <w:t>will</w:t>
      </w:r>
      <w:r w:rsidRPr="00800C0E">
        <w:rPr>
          <w:rFonts w:cs="Arial"/>
        </w:rPr>
        <w:t xml:space="preserve"> take place in April 2026. A small portion of funding will also be allocated to the Gambling Commission to direct further research in line with its licensing objectives.</w:t>
      </w:r>
    </w:p>
    <w:p w14:paraId="1D72FAAE" w14:textId="77777777" w:rsidR="00516EC0" w:rsidRPr="00800C0E" w:rsidRDefault="00516EC0" w:rsidP="00516EC0">
      <w:pPr>
        <w:spacing w:after="0" w:line="240" w:lineRule="auto"/>
        <w:ind w:left="720"/>
        <w:rPr>
          <w:rFonts w:cs="Arial"/>
        </w:rPr>
      </w:pPr>
    </w:p>
    <w:p w14:paraId="48D08C6B" w14:textId="1C76CA3A" w:rsidR="00800C0E" w:rsidRPr="00672CD7" w:rsidRDefault="00800C0E" w:rsidP="00672CD7">
      <w:pPr>
        <w:numPr>
          <w:ilvl w:val="0"/>
          <w:numId w:val="15"/>
        </w:numPr>
        <w:spacing w:after="0" w:line="240" w:lineRule="auto"/>
        <w:rPr>
          <w:b/>
          <w:bCs/>
        </w:rPr>
      </w:pPr>
      <w:r w:rsidRPr="00672CD7">
        <w:rPr>
          <w:rFonts w:cs="Arial"/>
        </w:rPr>
        <w:t>30</w:t>
      </w:r>
      <w:r w:rsidR="002834A2" w:rsidRPr="00672CD7">
        <w:rPr>
          <w:rFonts w:cs="Arial"/>
        </w:rPr>
        <w:t xml:space="preserve"> percent</w:t>
      </w:r>
      <w:r w:rsidRPr="00672CD7">
        <w:rPr>
          <w:rFonts w:cs="Arial"/>
        </w:rPr>
        <w:t xml:space="preserve"> of funding will go to the Office for Health Improvement and Disparities (OHID) and Scottish and Welsh </w:t>
      </w:r>
      <w:r w:rsidR="00091B14">
        <w:rPr>
          <w:rFonts w:cs="Arial"/>
        </w:rPr>
        <w:t>Government</w:t>
      </w:r>
      <w:r w:rsidRPr="00672CD7">
        <w:rPr>
          <w:rFonts w:cs="Arial"/>
        </w:rPr>
        <w:t xml:space="preserve">s to develop a comprehensive approach to the prevention of gambling-related harm across all three nations of Great Britain. In England, OHID will prioritise the development of an independent, public health approach that recognises the importance of the </w:t>
      </w:r>
      <w:r w:rsidRPr="00672CD7">
        <w:rPr>
          <w:rFonts w:cs="Arial"/>
        </w:rPr>
        <w:lastRenderedPageBreak/>
        <w:t>voluntary sector and local authorities in delivering effective prevention activity.</w:t>
      </w:r>
      <w:r w:rsidR="003660C1" w:rsidRPr="00672CD7">
        <w:rPr>
          <w:rFonts w:cs="Arial"/>
        </w:rPr>
        <w:t xml:space="preserve"> </w:t>
      </w:r>
      <w:r w:rsidR="008B3A0B" w:rsidRPr="00672CD7">
        <w:rPr>
          <w:rFonts w:cs="Arial"/>
        </w:rPr>
        <w:t>OHID</w:t>
      </w:r>
      <w:r w:rsidR="0070550C" w:rsidRPr="00672CD7">
        <w:rPr>
          <w:rFonts w:cs="Arial"/>
        </w:rPr>
        <w:t xml:space="preserve"> has </w:t>
      </w:r>
      <w:r w:rsidR="00BE028F" w:rsidRPr="00672CD7">
        <w:rPr>
          <w:rFonts w:cs="Arial"/>
        </w:rPr>
        <w:t xml:space="preserve">already </w:t>
      </w:r>
      <w:r w:rsidR="0070550C" w:rsidRPr="00672CD7">
        <w:rPr>
          <w:rFonts w:cs="Arial"/>
        </w:rPr>
        <w:t xml:space="preserve">published details of their </w:t>
      </w:r>
      <w:hyperlink r:id="rId32" w:history="1">
        <w:r w:rsidR="00672CD7" w:rsidRPr="001268F9">
          <w:rPr>
            <w:rStyle w:val="Hyperlink"/>
          </w:rPr>
          <w:t>Gambling Harms Prevention: Voluntary, Community and Social Enterprise (VCSE) Grant Fund</w:t>
        </w:r>
      </w:hyperlink>
      <w:r w:rsidR="00672CD7" w:rsidRPr="00672CD7">
        <w:t xml:space="preserve"> (opens in new tab).</w:t>
      </w:r>
      <w:r w:rsidR="003660C1" w:rsidRPr="00672CD7">
        <w:rPr>
          <w:rFonts w:cs="Arial"/>
        </w:rPr>
        <w:t> </w:t>
      </w:r>
    </w:p>
    <w:p w14:paraId="797BD385" w14:textId="77777777" w:rsidR="006A4F75" w:rsidRDefault="006A4F75" w:rsidP="006A4F75">
      <w:pPr>
        <w:spacing w:after="0" w:line="240" w:lineRule="auto"/>
        <w:ind w:left="720"/>
        <w:rPr>
          <w:rFonts w:cs="Arial"/>
        </w:rPr>
      </w:pPr>
    </w:p>
    <w:p w14:paraId="03A7B306" w14:textId="1438DC94" w:rsidR="00800C0E" w:rsidRPr="00800C0E" w:rsidRDefault="00800C0E" w:rsidP="00800C0E">
      <w:pPr>
        <w:numPr>
          <w:ilvl w:val="0"/>
          <w:numId w:val="15"/>
        </w:numPr>
        <w:spacing w:after="0" w:line="240" w:lineRule="auto"/>
        <w:rPr>
          <w:rFonts w:cs="Arial"/>
        </w:rPr>
      </w:pPr>
      <w:r w:rsidRPr="00800C0E">
        <w:rPr>
          <w:rFonts w:cs="Arial"/>
        </w:rPr>
        <w:t>The remaining 50</w:t>
      </w:r>
      <w:r w:rsidR="002834A2">
        <w:rPr>
          <w:rFonts w:cs="Arial"/>
        </w:rPr>
        <w:t xml:space="preserve"> percent</w:t>
      </w:r>
      <w:r w:rsidRPr="00800C0E">
        <w:rPr>
          <w:rFonts w:cs="Arial"/>
        </w:rPr>
        <w:t xml:space="preserve"> of funding will go to NHS England and Scottish and Welsh </w:t>
      </w:r>
      <w:r w:rsidR="00091B14">
        <w:rPr>
          <w:rFonts w:cs="Arial"/>
        </w:rPr>
        <w:t>Government</w:t>
      </w:r>
      <w:r w:rsidRPr="00800C0E">
        <w:rPr>
          <w:rFonts w:cs="Arial"/>
        </w:rPr>
        <w:t>s to work with providers, including the third sector, to increase access to treatment and support for those experiencing gambling-related harm. This will ensure services are joined up and consistent so that no one is falling through the cracks.</w:t>
      </w:r>
    </w:p>
    <w:p w14:paraId="524C803E" w14:textId="77777777" w:rsidR="00EA5737" w:rsidRPr="00EA5737" w:rsidRDefault="00EA5737" w:rsidP="00E46DF4">
      <w:pPr>
        <w:spacing w:after="0" w:line="240" w:lineRule="auto"/>
        <w:rPr>
          <w:rFonts w:cs="Arial"/>
        </w:rPr>
      </w:pPr>
    </w:p>
    <w:p w14:paraId="19F76C6B" w14:textId="25B2F466" w:rsidR="00796EE3" w:rsidRPr="00EA5737" w:rsidRDefault="009B4E79" w:rsidP="00E46DF4">
      <w:pPr>
        <w:spacing w:after="0" w:line="240" w:lineRule="auto"/>
        <w:rPr>
          <w:rFonts w:cs="Arial"/>
        </w:rPr>
      </w:pPr>
      <w:r w:rsidRPr="00EA5737">
        <w:rPr>
          <w:rFonts w:cs="Arial"/>
        </w:rPr>
        <w:t>I</w:t>
      </w:r>
      <w:r w:rsidR="00796EE3" w:rsidRPr="00EA5737">
        <w:rPr>
          <w:rFonts w:cs="Arial"/>
        </w:rPr>
        <w:t xml:space="preserve">n the absence of a destination that could centrally manage regulatory settlement funds (including the unplanned nature of any such funds), </w:t>
      </w:r>
      <w:r w:rsidR="00A11730">
        <w:rPr>
          <w:rFonts w:cs="Arial"/>
        </w:rPr>
        <w:t xml:space="preserve">we are concerned that </w:t>
      </w:r>
      <w:r w:rsidR="00796EE3" w:rsidRPr="00EA5737">
        <w:rPr>
          <w:rFonts w:cs="Arial"/>
        </w:rPr>
        <w:t xml:space="preserve">approving regulatory settlement destinations and </w:t>
      </w:r>
      <w:r w:rsidRPr="00EA5737">
        <w:rPr>
          <w:rFonts w:cs="Arial"/>
        </w:rPr>
        <w:t>project</w:t>
      </w:r>
      <w:r w:rsidR="00796EE3" w:rsidRPr="00EA5737">
        <w:rPr>
          <w:rFonts w:cs="Arial"/>
        </w:rPr>
        <w:t xml:space="preserve"> activity </w:t>
      </w:r>
      <w:r w:rsidR="00A11730">
        <w:rPr>
          <w:rFonts w:cs="Arial"/>
        </w:rPr>
        <w:t xml:space="preserve">on an ad hoc basis </w:t>
      </w:r>
      <w:r w:rsidR="00796EE3" w:rsidRPr="00EA5737">
        <w:rPr>
          <w:rFonts w:cs="Arial"/>
        </w:rPr>
        <w:t>outside of the levy structure risks creating an uncoordinated approach,</w:t>
      </w:r>
      <w:r w:rsidR="00796EE3" w:rsidRPr="00EA5737" w:rsidDel="00F34471">
        <w:rPr>
          <w:rFonts w:cs="Arial"/>
        </w:rPr>
        <w:t xml:space="preserve"> </w:t>
      </w:r>
      <w:r w:rsidR="00796EE3" w:rsidRPr="00EA5737">
        <w:rPr>
          <w:rFonts w:cs="Arial"/>
        </w:rPr>
        <w:t>possible duplication of effort and insufficient commissioning and evaluation approaches</w:t>
      </w:r>
      <w:r w:rsidRPr="00EA5737">
        <w:rPr>
          <w:rFonts w:cs="Arial"/>
        </w:rPr>
        <w:t xml:space="preserve">. </w:t>
      </w:r>
    </w:p>
    <w:p w14:paraId="4530E7AA" w14:textId="77777777" w:rsidR="00EA5737" w:rsidRPr="00EA5737" w:rsidRDefault="00EA5737" w:rsidP="00E46DF4">
      <w:pPr>
        <w:spacing w:after="0" w:line="240" w:lineRule="auto"/>
        <w:rPr>
          <w:rFonts w:eastAsiaTheme="majorEastAsia" w:cs="Arial"/>
        </w:rPr>
      </w:pPr>
    </w:p>
    <w:p w14:paraId="749A8FFF" w14:textId="5E54AB68" w:rsidR="00323CE6" w:rsidRPr="00EA5737" w:rsidRDefault="005021B1" w:rsidP="00E46DF4">
      <w:pPr>
        <w:spacing w:after="0" w:line="240" w:lineRule="auto"/>
        <w:rPr>
          <w:rFonts w:eastAsiaTheme="majorEastAsia" w:cs="Arial"/>
          <w:b/>
          <w:lang w:val="en-US"/>
        </w:rPr>
      </w:pPr>
      <w:r>
        <w:rPr>
          <w:rFonts w:eastAsiaTheme="majorEastAsia" w:cs="Arial"/>
        </w:rPr>
        <w:t>F</w:t>
      </w:r>
      <w:r w:rsidRPr="005021B1">
        <w:rPr>
          <w:rFonts w:eastAsiaTheme="majorEastAsia" w:cs="Arial"/>
        </w:rPr>
        <w:t xml:space="preserve">ollowing consideration of the consultation responses and decisions on the appropriate amendments to the </w:t>
      </w:r>
      <w:r w:rsidR="00B76B87" w:rsidRPr="00E46DF4">
        <w:rPr>
          <w:rFonts w:cs="Arial"/>
        </w:rPr>
        <w:t>Statement of Principles for Determining Financial Penalties</w:t>
      </w:r>
      <w:r w:rsidRPr="005021B1">
        <w:rPr>
          <w:rFonts w:eastAsiaTheme="majorEastAsia" w:cs="Arial"/>
        </w:rPr>
        <w:t xml:space="preserve">, we </w:t>
      </w:r>
      <w:r>
        <w:rPr>
          <w:rFonts w:eastAsiaTheme="majorEastAsia" w:cs="Arial"/>
        </w:rPr>
        <w:t xml:space="preserve">would </w:t>
      </w:r>
      <w:r w:rsidRPr="005021B1">
        <w:rPr>
          <w:rFonts w:eastAsiaTheme="majorEastAsia" w:cs="Arial"/>
        </w:rPr>
        <w:t xml:space="preserve">intend to make changes to the </w:t>
      </w:r>
      <w:r w:rsidR="00B76B87" w:rsidRPr="00E46DF4">
        <w:rPr>
          <w:rFonts w:cs="Arial"/>
        </w:rPr>
        <w:t xml:space="preserve">Statement of Principles for Determining Financial Penalties </w:t>
      </w:r>
      <w:r w:rsidRPr="005021B1">
        <w:rPr>
          <w:rFonts w:eastAsiaTheme="majorEastAsia" w:cs="Arial"/>
        </w:rPr>
        <w:t xml:space="preserve">with immediate effect. </w:t>
      </w:r>
      <w:r w:rsidR="008C5B4C">
        <w:rPr>
          <w:rFonts w:eastAsiaTheme="majorEastAsia" w:cs="Arial"/>
        </w:rPr>
        <w:t>T</w:t>
      </w:r>
      <w:r w:rsidR="00EB151A" w:rsidRPr="00EA5737">
        <w:rPr>
          <w:rFonts w:eastAsiaTheme="majorEastAsia" w:cs="Arial"/>
        </w:rPr>
        <w:t>his proposal</w:t>
      </w:r>
      <w:r w:rsidR="00323CE6" w:rsidRPr="00EA5737">
        <w:rPr>
          <w:rFonts w:eastAsiaTheme="majorEastAsia" w:cs="Arial"/>
        </w:rPr>
        <w:t xml:space="preserve"> would not require operators to make changes to systems or </w:t>
      </w:r>
      <w:r w:rsidR="00E069D4" w:rsidRPr="00EA5737">
        <w:rPr>
          <w:rFonts w:eastAsiaTheme="majorEastAsia" w:cs="Arial"/>
        </w:rPr>
        <w:t>processes,</w:t>
      </w:r>
      <w:r w:rsidR="00323CE6" w:rsidRPr="00EA5737">
        <w:rPr>
          <w:rFonts w:eastAsiaTheme="majorEastAsia" w:cs="Arial"/>
        </w:rPr>
        <w:t xml:space="preserve"> and </w:t>
      </w:r>
      <w:r w:rsidR="00323CE6" w:rsidRPr="00EA5737" w:rsidDel="001717BF">
        <w:rPr>
          <w:rFonts w:eastAsiaTheme="majorEastAsia" w:cs="Arial"/>
        </w:rPr>
        <w:t xml:space="preserve">we </w:t>
      </w:r>
      <w:r w:rsidR="00323CE6" w:rsidRPr="00EA5737">
        <w:rPr>
          <w:rFonts w:eastAsiaTheme="majorEastAsia" w:cs="Arial"/>
        </w:rPr>
        <w:t xml:space="preserve">are not required to provide a </w:t>
      </w:r>
      <w:r w:rsidR="00E069D4" w:rsidRPr="00EA5737">
        <w:rPr>
          <w:rFonts w:eastAsiaTheme="majorEastAsia" w:cs="Arial"/>
        </w:rPr>
        <w:t>three-month</w:t>
      </w:r>
      <w:r w:rsidR="00323CE6" w:rsidRPr="00EA5737">
        <w:rPr>
          <w:rFonts w:eastAsiaTheme="majorEastAsia" w:cs="Arial"/>
        </w:rPr>
        <w:t xml:space="preserve"> notice period for changes to </w:t>
      </w:r>
      <w:r w:rsidR="00F94D35">
        <w:rPr>
          <w:rFonts w:eastAsiaTheme="majorEastAsia" w:cs="Arial"/>
        </w:rPr>
        <w:t>our</w:t>
      </w:r>
      <w:r w:rsidR="00323CE6" w:rsidRPr="00EA5737">
        <w:rPr>
          <w:rFonts w:eastAsiaTheme="majorEastAsia" w:cs="Arial"/>
        </w:rPr>
        <w:t xml:space="preserve"> </w:t>
      </w:r>
      <w:r w:rsidR="00323CE6" w:rsidRPr="00EA5737">
        <w:rPr>
          <w:rFonts w:cs="Arial"/>
        </w:rPr>
        <w:t>Statement of Principles for Determining Financial Penalties</w:t>
      </w:r>
      <w:r w:rsidR="00323CE6" w:rsidRPr="00EA5737">
        <w:rPr>
          <w:rFonts w:eastAsiaTheme="majorEastAsia" w:cs="Arial"/>
        </w:rPr>
        <w:t xml:space="preserve"> (as</w:t>
      </w:r>
      <w:r w:rsidR="00323CE6" w:rsidRPr="00EA5737" w:rsidDel="00D261DA">
        <w:rPr>
          <w:rFonts w:eastAsiaTheme="majorEastAsia" w:cs="Arial"/>
        </w:rPr>
        <w:t xml:space="preserve"> </w:t>
      </w:r>
      <w:r w:rsidR="00323CE6" w:rsidRPr="00EA5737">
        <w:rPr>
          <w:rFonts w:eastAsiaTheme="majorEastAsia" w:cs="Arial"/>
        </w:rPr>
        <w:t xml:space="preserve">would ordinarily be the case with changes </w:t>
      </w:r>
      <w:r w:rsidR="00584E72" w:rsidRPr="00EA5737">
        <w:rPr>
          <w:rFonts w:eastAsiaTheme="majorEastAsia" w:cs="Arial"/>
        </w:rPr>
        <w:t xml:space="preserve">to our Licence </w:t>
      </w:r>
      <w:r w:rsidR="00BE40D7" w:rsidRPr="00EA5737">
        <w:rPr>
          <w:rFonts w:eastAsiaTheme="majorEastAsia" w:cs="Arial"/>
        </w:rPr>
        <w:t xml:space="preserve">Conditions and Codes of Practice (LCCP) </w:t>
      </w:r>
      <w:r w:rsidR="00323CE6" w:rsidRPr="00EA5737">
        <w:rPr>
          <w:rFonts w:eastAsiaTheme="majorEastAsia" w:cs="Arial"/>
        </w:rPr>
        <w:t>other than in cases of urgency)</w:t>
      </w:r>
      <w:r w:rsidR="00264B5B">
        <w:rPr>
          <w:rFonts w:eastAsiaTheme="majorEastAsia" w:cs="Arial"/>
        </w:rPr>
        <w:t>.</w:t>
      </w:r>
      <w:r w:rsidR="00323CE6" w:rsidRPr="00EA5737">
        <w:rPr>
          <w:rFonts w:eastAsiaTheme="majorEastAsia" w:cs="Arial"/>
        </w:rPr>
        <w:t xml:space="preserve"> </w:t>
      </w:r>
    </w:p>
    <w:p w14:paraId="76A93217" w14:textId="77777777" w:rsidR="00517ABC" w:rsidRDefault="00517ABC" w:rsidP="00F129EE"/>
    <w:p w14:paraId="4D2B0A4C" w14:textId="6ED1835B" w:rsidR="00F129EE" w:rsidRPr="00E46DF4" w:rsidRDefault="00F129EE" w:rsidP="00F129EE">
      <w:pPr>
        <w:rPr>
          <w:b/>
          <w:bCs/>
        </w:rPr>
      </w:pPr>
      <w:r w:rsidRPr="00E46DF4">
        <w:rPr>
          <w:b/>
          <w:bCs/>
        </w:rPr>
        <w:t xml:space="preserve">Proposed revisions to the </w:t>
      </w:r>
      <w:proofErr w:type="spellStart"/>
      <w:r w:rsidR="00DD71FE" w:rsidRPr="00E46DF4">
        <w:rPr>
          <w:b/>
          <w:bCs/>
        </w:rPr>
        <w:t>SoP</w:t>
      </w:r>
      <w:proofErr w:type="spellEnd"/>
    </w:p>
    <w:p w14:paraId="7B0ACED4" w14:textId="0C96EEBD" w:rsidR="00C15C51" w:rsidRPr="00E46DF4" w:rsidRDefault="00C15C51" w:rsidP="00C15C51">
      <w:pPr>
        <w:spacing w:after="0" w:line="240" w:lineRule="auto"/>
        <w:rPr>
          <w:rFonts w:cs="Arial"/>
        </w:rPr>
      </w:pPr>
      <w:r w:rsidRPr="00E46DF4">
        <w:rPr>
          <w:rFonts w:cs="Arial"/>
        </w:rPr>
        <w:t>Our proposed change</w:t>
      </w:r>
      <w:r w:rsidR="00F800F2" w:rsidRPr="00E46DF4">
        <w:rPr>
          <w:rFonts w:cs="Arial"/>
        </w:rPr>
        <w:t xml:space="preserve">s to </w:t>
      </w:r>
      <w:r w:rsidR="00202AFD">
        <w:rPr>
          <w:rFonts w:cs="Arial"/>
        </w:rPr>
        <w:t>section</w:t>
      </w:r>
      <w:r w:rsidR="00F800F2" w:rsidRPr="00E46DF4">
        <w:rPr>
          <w:rFonts w:cs="Arial"/>
        </w:rPr>
        <w:t xml:space="preserve"> 2.39 </w:t>
      </w:r>
      <w:r w:rsidR="00E82AF2" w:rsidRPr="00E46DF4">
        <w:rPr>
          <w:rFonts w:cs="Arial"/>
        </w:rPr>
        <w:t>o</w:t>
      </w:r>
      <w:r w:rsidR="00F800F2" w:rsidRPr="00E46DF4">
        <w:rPr>
          <w:rFonts w:cs="Arial"/>
        </w:rPr>
        <w:t xml:space="preserve">f the Statement of Principles for Determining Financial </w:t>
      </w:r>
      <w:r w:rsidR="00E82AF2" w:rsidRPr="00E46DF4">
        <w:rPr>
          <w:rFonts w:cs="Arial"/>
        </w:rPr>
        <w:t xml:space="preserve">Penalties </w:t>
      </w:r>
      <w:r w:rsidR="00F800F2" w:rsidRPr="00E46DF4">
        <w:rPr>
          <w:rFonts w:cs="Arial"/>
        </w:rPr>
        <w:t xml:space="preserve">are </w:t>
      </w:r>
      <w:r w:rsidRPr="00E46DF4">
        <w:rPr>
          <w:rFonts w:cs="Arial"/>
        </w:rPr>
        <w:t>shown below with deletions marked as a strikethrough.</w:t>
      </w:r>
    </w:p>
    <w:p w14:paraId="68AD8A95" w14:textId="77777777" w:rsidR="00C15C51" w:rsidRPr="00E46DF4" w:rsidRDefault="00C15C51" w:rsidP="00C15C51">
      <w:pPr>
        <w:spacing w:after="0" w:line="240" w:lineRule="auto"/>
        <w:rPr>
          <w:rFonts w:cs="Arial"/>
          <w:b/>
          <w:bCs/>
        </w:rPr>
      </w:pPr>
    </w:p>
    <w:p w14:paraId="29CCCE0A" w14:textId="77777777" w:rsidR="00F800F2" w:rsidRPr="00F800F2" w:rsidRDefault="00F800F2" w:rsidP="00F800F2">
      <w:pPr>
        <w:rPr>
          <w:b/>
          <w:bCs/>
        </w:rPr>
      </w:pPr>
      <w:r w:rsidRPr="00F800F2">
        <w:rPr>
          <w:b/>
          <w:bCs/>
        </w:rPr>
        <w:t>Payments in lieu of financial penalties</w:t>
      </w:r>
    </w:p>
    <w:p w14:paraId="31091D6A" w14:textId="1C1050CA" w:rsidR="00F800F2" w:rsidRPr="005328BD" w:rsidRDefault="00F800F2" w:rsidP="00F800F2">
      <w:pPr>
        <w:rPr>
          <w:dstrike/>
        </w:rPr>
      </w:pPr>
      <w:r w:rsidRPr="00F800F2">
        <w:rPr>
          <w:b/>
          <w:bCs/>
        </w:rPr>
        <w:t>2.39.</w:t>
      </w:r>
      <w:r w:rsidRPr="00F800F2">
        <w:t xml:space="preserve"> Payments made in lieu of a financial penalty as part of a regulatory settlement </w:t>
      </w:r>
      <w:r w:rsidRPr="00E46DF4">
        <w:t xml:space="preserve">will </w:t>
      </w:r>
      <w:r w:rsidRPr="005328BD">
        <w:rPr>
          <w:dstrike/>
        </w:rPr>
        <w:t>do not need to</w:t>
      </w:r>
      <w:r w:rsidRPr="00F800F2">
        <w:t xml:space="preserve"> be paid into the Consolidated Fund in the same way that financial penalties imposed under section 121 of the Act </w:t>
      </w:r>
      <w:r w:rsidRPr="005328BD">
        <w:rPr>
          <w:dstrike/>
        </w:rPr>
        <w:t>do</w:t>
      </w:r>
      <w:r w:rsidR="001D7756">
        <w:t xml:space="preserve"> are</w:t>
      </w:r>
      <w:r w:rsidRPr="00F800F2">
        <w:t xml:space="preserve">. </w:t>
      </w:r>
      <w:r w:rsidRPr="005328BD">
        <w:rPr>
          <w:dstrike/>
        </w:rPr>
        <w:t>As a result, there is more flexibility about how such monies may be used. However, the Commission will apply the following principles in approaching such agreed payments:</w:t>
      </w:r>
    </w:p>
    <w:p w14:paraId="45BA45CC" w14:textId="77777777" w:rsidR="00F800F2" w:rsidRPr="005328BD" w:rsidRDefault="00F800F2" w:rsidP="00F800F2">
      <w:pPr>
        <w:numPr>
          <w:ilvl w:val="0"/>
          <w:numId w:val="11"/>
        </w:numPr>
        <w:rPr>
          <w:dstrike/>
        </w:rPr>
      </w:pPr>
      <w:r w:rsidRPr="005328BD">
        <w:rPr>
          <w:dstrike/>
        </w:rPr>
        <w:t>the Commission reserves the power to approve the destination of monies paid as part of a regulatory settlement</w:t>
      </w:r>
    </w:p>
    <w:p w14:paraId="1614783B" w14:textId="77777777" w:rsidR="00F800F2" w:rsidRPr="005328BD" w:rsidRDefault="00F800F2" w:rsidP="00F800F2">
      <w:pPr>
        <w:numPr>
          <w:ilvl w:val="0"/>
          <w:numId w:val="11"/>
        </w:numPr>
        <w:rPr>
          <w:dstrike/>
        </w:rPr>
      </w:pPr>
      <w:r w:rsidRPr="005328BD">
        <w:rPr>
          <w:dstrike/>
        </w:rPr>
        <w:t>licensees must not generate positive publicity from the regulatory settlement</w:t>
      </w:r>
    </w:p>
    <w:p w14:paraId="2A553019" w14:textId="77777777" w:rsidR="00F800F2" w:rsidRPr="005328BD" w:rsidRDefault="00F800F2" w:rsidP="00F800F2">
      <w:pPr>
        <w:numPr>
          <w:ilvl w:val="0"/>
          <w:numId w:val="11"/>
        </w:numPr>
        <w:rPr>
          <w:dstrike/>
        </w:rPr>
      </w:pPr>
      <w:r w:rsidRPr="005328BD">
        <w:rPr>
          <w:dstrike/>
        </w:rPr>
        <w:t>payments need to be demonstrably over and above 'normal' Research, Education and Treatment (RET) contributions, or any levy amounts due under Section 123 of the Act</w:t>
      </w:r>
    </w:p>
    <w:p w14:paraId="2122FF8F" w14:textId="77777777" w:rsidR="00F800F2" w:rsidRPr="005328BD" w:rsidRDefault="00F800F2" w:rsidP="00F800F2">
      <w:pPr>
        <w:numPr>
          <w:ilvl w:val="0"/>
          <w:numId w:val="11"/>
        </w:numPr>
        <w:rPr>
          <w:dstrike/>
        </w:rPr>
      </w:pPr>
      <w:r w:rsidRPr="005328BD">
        <w:rPr>
          <w:dstrike/>
        </w:rPr>
        <w:lastRenderedPageBreak/>
        <w:t>where practicable, the operator should return money to any identified victims</w:t>
      </w:r>
    </w:p>
    <w:p w14:paraId="56B2C792" w14:textId="4D41D1D3" w:rsidR="00F800F2" w:rsidRPr="005328BD" w:rsidRDefault="00F800F2" w:rsidP="00F800F2">
      <w:pPr>
        <w:numPr>
          <w:ilvl w:val="0"/>
          <w:numId w:val="11"/>
        </w:numPr>
        <w:rPr>
          <w:dstrike/>
        </w:rPr>
      </w:pPr>
      <w:r w:rsidRPr="005328BD">
        <w:rPr>
          <w:dstrike/>
        </w:rPr>
        <w:t xml:space="preserve">if victims cannot be identified or there are no victims, the monies should be given to </w:t>
      </w:r>
      <w:r w:rsidR="003848C2" w:rsidRPr="005328BD">
        <w:rPr>
          <w:dstrike/>
        </w:rPr>
        <w:t xml:space="preserve">the Consolidated Fund </w:t>
      </w:r>
      <w:r w:rsidRPr="005328BD">
        <w:rPr>
          <w:dstrike/>
        </w:rPr>
        <w:t>charity for socially responsible purposes</w:t>
      </w:r>
    </w:p>
    <w:p w14:paraId="239F15D7" w14:textId="77777777" w:rsidR="00F800F2" w:rsidRPr="005328BD" w:rsidRDefault="00F800F2" w:rsidP="00F800F2">
      <w:pPr>
        <w:numPr>
          <w:ilvl w:val="0"/>
          <w:numId w:val="11"/>
        </w:numPr>
        <w:rPr>
          <w:dstrike/>
        </w:rPr>
      </w:pPr>
      <w:r w:rsidRPr="005328BD">
        <w:rPr>
          <w:dstrike/>
        </w:rPr>
        <w:t>socially responsible purposes would include purposes which address gambling related harm or in some way promotes one or more of the licensing objectives</w:t>
      </w:r>
    </w:p>
    <w:p w14:paraId="29159EDE" w14:textId="77777777" w:rsidR="00F800F2" w:rsidRPr="005328BD" w:rsidRDefault="00F800F2" w:rsidP="00F800F2">
      <w:pPr>
        <w:numPr>
          <w:ilvl w:val="0"/>
          <w:numId w:val="11"/>
        </w:numPr>
        <w:rPr>
          <w:dstrike/>
        </w:rPr>
      </w:pPr>
      <w:r w:rsidRPr="005328BD">
        <w:rPr>
          <w:dstrike/>
        </w:rPr>
        <w:t xml:space="preserve">where payments are made with the aim of addressing gambling-related harm, the presumption is that the money would be paid to </w:t>
      </w:r>
      <w:proofErr w:type="spellStart"/>
      <w:r w:rsidRPr="005328BD">
        <w:rPr>
          <w:dstrike/>
        </w:rPr>
        <w:t>GambleAware</w:t>
      </w:r>
      <w:proofErr w:type="spellEnd"/>
      <w:r w:rsidRPr="005328BD">
        <w:rPr>
          <w:dstrike/>
        </w:rPr>
        <w:t xml:space="preserve"> to be used for specific agreed purposes that accelerate their commissioning plans</w:t>
      </w:r>
    </w:p>
    <w:p w14:paraId="3D7C623F" w14:textId="77777777" w:rsidR="00F800F2" w:rsidRPr="005328BD" w:rsidRDefault="00F800F2" w:rsidP="00F800F2">
      <w:pPr>
        <w:numPr>
          <w:ilvl w:val="0"/>
          <w:numId w:val="11"/>
        </w:numPr>
        <w:rPr>
          <w:dstrike/>
        </w:rPr>
      </w:pPr>
      <w:r w:rsidRPr="005328BD">
        <w:rPr>
          <w:dstrike/>
        </w:rPr>
        <w:t>licensees should have no interest in organisations who will receive divested funds</w:t>
      </w:r>
    </w:p>
    <w:p w14:paraId="67D1DC2F" w14:textId="77777777" w:rsidR="00F800F2" w:rsidRPr="005328BD" w:rsidRDefault="00F800F2" w:rsidP="00F800F2">
      <w:pPr>
        <w:numPr>
          <w:ilvl w:val="0"/>
          <w:numId w:val="11"/>
        </w:numPr>
        <w:rPr>
          <w:dstrike/>
        </w:rPr>
      </w:pPr>
      <w:r w:rsidRPr="005328BD">
        <w:rPr>
          <w:dstrike/>
        </w:rPr>
        <w:t>there should be meaningful evaluation of the effectiveness of projects or research funded by specific regulatory settlements</w:t>
      </w:r>
    </w:p>
    <w:p w14:paraId="78F8D3FB" w14:textId="77777777" w:rsidR="00F800F2" w:rsidRPr="005328BD" w:rsidRDefault="00F800F2" w:rsidP="00F800F2">
      <w:pPr>
        <w:numPr>
          <w:ilvl w:val="0"/>
          <w:numId w:val="11"/>
        </w:numPr>
        <w:rPr>
          <w:dstrike/>
        </w:rPr>
      </w:pPr>
      <w:r w:rsidRPr="005328BD">
        <w:rPr>
          <w:dstrike/>
        </w:rPr>
        <w:t>research findings must be made public to help raise standards</w:t>
      </w:r>
    </w:p>
    <w:p w14:paraId="7CE94D60" w14:textId="77777777" w:rsidR="00F800F2" w:rsidRPr="005328BD" w:rsidRDefault="00F800F2" w:rsidP="00F800F2">
      <w:pPr>
        <w:numPr>
          <w:ilvl w:val="0"/>
          <w:numId w:val="11"/>
        </w:numPr>
        <w:rPr>
          <w:dstrike/>
        </w:rPr>
      </w:pPr>
      <w:r w:rsidRPr="005328BD">
        <w:rPr>
          <w:dstrike/>
        </w:rPr>
        <w:t>clear timeframes should be set for payment of monies and for delivery of work paid for from those monies.</w:t>
      </w:r>
    </w:p>
    <w:p w14:paraId="57B12BF7" w14:textId="33F66970" w:rsidR="00F129EE" w:rsidRPr="00E46DF4" w:rsidRDefault="00F129EE" w:rsidP="006D54DC">
      <w:pPr>
        <w:rPr>
          <w:b/>
          <w:bCs/>
        </w:rPr>
      </w:pPr>
      <w:r w:rsidRPr="00E46DF4">
        <w:rPr>
          <w:b/>
          <w:bCs/>
        </w:rPr>
        <w:t>Consultation Questions</w:t>
      </w:r>
    </w:p>
    <w:p w14:paraId="5BD01D19" w14:textId="5AE37982" w:rsidR="00ED037D" w:rsidRPr="00E46DF4" w:rsidRDefault="00ED037D" w:rsidP="006D54DC">
      <w:pPr>
        <w:pStyle w:val="ListParagraph"/>
        <w:numPr>
          <w:ilvl w:val="0"/>
          <w:numId w:val="12"/>
        </w:numPr>
        <w:rPr>
          <w:rFonts w:cs="Arial"/>
          <w:b/>
          <w:bCs/>
        </w:rPr>
      </w:pPr>
      <w:r w:rsidRPr="00E46DF4">
        <w:rPr>
          <w:rFonts w:cs="Arial"/>
          <w:b/>
          <w:bCs/>
        </w:rPr>
        <w:t xml:space="preserve">To what extent do you agree with the </w:t>
      </w:r>
      <w:r w:rsidR="00BF186F" w:rsidRPr="00E46DF4">
        <w:rPr>
          <w:rFonts w:cs="Arial"/>
          <w:b/>
          <w:bCs/>
        </w:rPr>
        <w:t xml:space="preserve">proposal to amend </w:t>
      </w:r>
      <w:r w:rsidR="0096634A">
        <w:rPr>
          <w:rFonts w:cs="Arial"/>
          <w:b/>
          <w:bCs/>
        </w:rPr>
        <w:t>section</w:t>
      </w:r>
      <w:r w:rsidR="00E82AF2" w:rsidRPr="00E46DF4">
        <w:rPr>
          <w:rFonts w:cs="Arial"/>
          <w:b/>
          <w:bCs/>
        </w:rPr>
        <w:t xml:space="preserve"> 2.39 of</w:t>
      </w:r>
      <w:r w:rsidR="00BF186F" w:rsidRPr="00E46DF4">
        <w:rPr>
          <w:rFonts w:cs="Arial"/>
          <w:b/>
          <w:bCs/>
        </w:rPr>
        <w:t xml:space="preserve"> </w:t>
      </w:r>
      <w:r w:rsidR="00E82AF2" w:rsidRPr="00E46DF4">
        <w:rPr>
          <w:rFonts w:cs="Arial"/>
          <w:b/>
          <w:bCs/>
        </w:rPr>
        <w:t>Statement of Principles for Determining Financial Penalties</w:t>
      </w:r>
      <w:r w:rsidRPr="00E46DF4">
        <w:rPr>
          <w:rFonts w:cs="Arial"/>
          <w:b/>
          <w:bCs/>
        </w:rPr>
        <w:t xml:space="preserve"> to </w:t>
      </w:r>
      <w:r w:rsidR="00E82AF2" w:rsidRPr="00E46DF4">
        <w:rPr>
          <w:rFonts w:cs="Arial"/>
          <w:b/>
          <w:bCs/>
        </w:rPr>
        <w:t xml:space="preserve">make it clear that in </w:t>
      </w:r>
      <w:r w:rsidR="004A45A6" w:rsidRPr="00E46DF4">
        <w:rPr>
          <w:rFonts w:cs="Arial"/>
          <w:b/>
          <w:bCs/>
        </w:rPr>
        <w:t xml:space="preserve">future </w:t>
      </w:r>
      <w:r w:rsidR="00E82AF2" w:rsidRPr="00E46DF4">
        <w:rPr>
          <w:rFonts w:cs="Arial"/>
          <w:b/>
          <w:bCs/>
        </w:rPr>
        <w:t xml:space="preserve">all </w:t>
      </w:r>
      <w:r w:rsidR="004A45A6" w:rsidRPr="00E46DF4">
        <w:rPr>
          <w:rFonts w:cs="Arial"/>
          <w:b/>
          <w:bCs/>
        </w:rPr>
        <w:t xml:space="preserve">regulatory settlements agreed as part of </w:t>
      </w:r>
      <w:r w:rsidR="00E82AF2" w:rsidRPr="00E46DF4">
        <w:rPr>
          <w:rFonts w:cs="Arial"/>
          <w:b/>
          <w:bCs/>
        </w:rPr>
        <w:t xml:space="preserve">Gambling Commission </w:t>
      </w:r>
      <w:r w:rsidR="00BF186F" w:rsidRPr="00E46DF4">
        <w:rPr>
          <w:rFonts w:cs="Arial"/>
          <w:b/>
          <w:bCs/>
        </w:rPr>
        <w:t xml:space="preserve">enforcement action </w:t>
      </w:r>
      <w:r w:rsidR="00E82AF2" w:rsidRPr="00E46DF4">
        <w:rPr>
          <w:rFonts w:cs="Arial"/>
          <w:b/>
          <w:bCs/>
        </w:rPr>
        <w:t xml:space="preserve">will be </w:t>
      </w:r>
      <w:r w:rsidR="002775A2" w:rsidRPr="00E46DF4">
        <w:rPr>
          <w:rFonts w:cs="Arial"/>
          <w:b/>
          <w:bCs/>
        </w:rPr>
        <w:t xml:space="preserve">directed </w:t>
      </w:r>
      <w:r w:rsidR="00BF186F" w:rsidRPr="00E46DF4">
        <w:rPr>
          <w:rFonts w:cs="Arial"/>
          <w:b/>
          <w:bCs/>
        </w:rPr>
        <w:t xml:space="preserve">to the </w:t>
      </w:r>
      <w:r w:rsidR="002775A2" w:rsidRPr="00E46DF4">
        <w:rPr>
          <w:rFonts w:cs="Arial"/>
          <w:b/>
          <w:bCs/>
        </w:rPr>
        <w:t>C</w:t>
      </w:r>
      <w:r w:rsidR="00BF186F" w:rsidRPr="00E46DF4">
        <w:rPr>
          <w:rFonts w:cs="Arial"/>
          <w:b/>
          <w:bCs/>
        </w:rPr>
        <w:t xml:space="preserve">onsolidated </w:t>
      </w:r>
      <w:r w:rsidR="002775A2" w:rsidRPr="00E46DF4">
        <w:rPr>
          <w:rFonts w:cs="Arial"/>
          <w:b/>
          <w:bCs/>
        </w:rPr>
        <w:t>F</w:t>
      </w:r>
      <w:r w:rsidR="00BF186F" w:rsidRPr="00E46DF4">
        <w:rPr>
          <w:rFonts w:cs="Arial"/>
          <w:b/>
          <w:bCs/>
        </w:rPr>
        <w:t xml:space="preserve">und </w:t>
      </w:r>
      <w:r w:rsidR="002775A2" w:rsidRPr="00E46DF4">
        <w:rPr>
          <w:rFonts w:cs="Arial"/>
          <w:b/>
          <w:bCs/>
        </w:rPr>
        <w:t>as financial penalties are?</w:t>
      </w:r>
    </w:p>
    <w:p w14:paraId="3E890563" w14:textId="77777777" w:rsidR="00BF186F" w:rsidRPr="00E46DF4" w:rsidRDefault="00BF186F" w:rsidP="006D54DC">
      <w:pPr>
        <w:rPr>
          <w:b/>
          <w:bCs/>
        </w:rPr>
      </w:pPr>
      <w:r w:rsidRPr="00E46DF4">
        <w:rPr>
          <w:b/>
          <w:bCs/>
        </w:rPr>
        <w:t>Multiple choice answer</w:t>
      </w:r>
    </w:p>
    <w:p w14:paraId="29A06BAD" w14:textId="77777777" w:rsidR="00BF186F" w:rsidRPr="00E46DF4" w:rsidRDefault="00BF186F" w:rsidP="006D54DC">
      <w:pPr>
        <w:numPr>
          <w:ilvl w:val="0"/>
          <w:numId w:val="5"/>
        </w:numPr>
        <w:rPr>
          <w:b/>
          <w:bCs/>
        </w:rPr>
      </w:pPr>
      <w:r w:rsidRPr="00E46DF4">
        <w:rPr>
          <w:b/>
          <w:bCs/>
        </w:rPr>
        <w:t>Strongly agree</w:t>
      </w:r>
    </w:p>
    <w:p w14:paraId="0A4F94FB" w14:textId="77777777" w:rsidR="00BF186F" w:rsidRPr="00E46DF4" w:rsidRDefault="00BF186F" w:rsidP="006D54DC">
      <w:pPr>
        <w:numPr>
          <w:ilvl w:val="0"/>
          <w:numId w:val="5"/>
        </w:numPr>
        <w:rPr>
          <w:b/>
          <w:bCs/>
        </w:rPr>
      </w:pPr>
      <w:r w:rsidRPr="00E46DF4">
        <w:rPr>
          <w:b/>
          <w:bCs/>
        </w:rPr>
        <w:t>Agree</w:t>
      </w:r>
    </w:p>
    <w:p w14:paraId="2A131F73" w14:textId="77777777" w:rsidR="00BF186F" w:rsidRPr="00E46DF4" w:rsidRDefault="00BF186F" w:rsidP="006D54DC">
      <w:pPr>
        <w:numPr>
          <w:ilvl w:val="0"/>
          <w:numId w:val="5"/>
        </w:numPr>
        <w:rPr>
          <w:b/>
          <w:bCs/>
        </w:rPr>
      </w:pPr>
      <w:r w:rsidRPr="00E46DF4">
        <w:rPr>
          <w:b/>
          <w:bCs/>
        </w:rPr>
        <w:t>Neither agree nor disagree</w:t>
      </w:r>
    </w:p>
    <w:p w14:paraId="3AAA5672" w14:textId="77777777" w:rsidR="00BF186F" w:rsidRPr="00E46DF4" w:rsidRDefault="00BF186F" w:rsidP="006D54DC">
      <w:pPr>
        <w:numPr>
          <w:ilvl w:val="0"/>
          <w:numId w:val="5"/>
        </w:numPr>
        <w:rPr>
          <w:b/>
          <w:bCs/>
        </w:rPr>
      </w:pPr>
      <w:r w:rsidRPr="00E46DF4">
        <w:rPr>
          <w:b/>
          <w:bCs/>
        </w:rPr>
        <w:t>Disagree</w:t>
      </w:r>
    </w:p>
    <w:p w14:paraId="33C31AD2" w14:textId="77777777" w:rsidR="00BF186F" w:rsidRPr="00E46DF4" w:rsidRDefault="00BF186F" w:rsidP="006D54DC">
      <w:pPr>
        <w:numPr>
          <w:ilvl w:val="0"/>
          <w:numId w:val="5"/>
        </w:numPr>
        <w:rPr>
          <w:b/>
          <w:bCs/>
        </w:rPr>
      </w:pPr>
      <w:r w:rsidRPr="00E46DF4">
        <w:rPr>
          <w:b/>
          <w:bCs/>
        </w:rPr>
        <w:t>Strongly disagree</w:t>
      </w:r>
    </w:p>
    <w:p w14:paraId="63E682AA" w14:textId="62AA14A6" w:rsidR="00BF186F" w:rsidRPr="00E46DF4" w:rsidRDefault="00BF186F" w:rsidP="006D54DC">
      <w:pPr>
        <w:pStyle w:val="ListParagraph"/>
        <w:numPr>
          <w:ilvl w:val="0"/>
          <w:numId w:val="12"/>
        </w:numPr>
        <w:rPr>
          <w:b/>
          <w:bCs/>
        </w:rPr>
      </w:pPr>
      <w:r w:rsidRPr="00E46DF4">
        <w:rPr>
          <w:b/>
          <w:bCs/>
        </w:rPr>
        <w:t>Please give your reasons for your previous answer below</w:t>
      </w:r>
    </w:p>
    <w:p w14:paraId="1D2F8EE0" w14:textId="77777777" w:rsidR="00BF186F" w:rsidRPr="00E46DF4" w:rsidRDefault="00BF186F" w:rsidP="006D54DC">
      <w:pPr>
        <w:rPr>
          <w:b/>
          <w:bCs/>
        </w:rPr>
      </w:pPr>
      <w:r w:rsidRPr="00E46DF4">
        <w:rPr>
          <w:b/>
          <w:bCs/>
        </w:rPr>
        <w:t>[Free text box]</w:t>
      </w:r>
    </w:p>
    <w:p w14:paraId="6218F98C" w14:textId="22EB20AA" w:rsidR="00ED037D" w:rsidRPr="00E46DF4" w:rsidRDefault="00ED037D" w:rsidP="006D54DC">
      <w:pPr>
        <w:pStyle w:val="ListParagraph"/>
        <w:numPr>
          <w:ilvl w:val="0"/>
          <w:numId w:val="12"/>
        </w:numPr>
        <w:rPr>
          <w:rFonts w:cs="Arial"/>
          <w:b/>
          <w:bCs/>
        </w:rPr>
      </w:pPr>
      <w:r w:rsidRPr="00E46DF4">
        <w:rPr>
          <w:rFonts w:cs="Arial"/>
          <w:b/>
          <w:bCs/>
        </w:rPr>
        <w:t xml:space="preserve">Can you foresee any issues related to </w:t>
      </w:r>
      <w:r w:rsidR="00AF735B" w:rsidRPr="00E46DF4">
        <w:rPr>
          <w:rFonts w:cs="Arial"/>
          <w:b/>
          <w:bCs/>
        </w:rPr>
        <w:t>amending the destination for future regulatory settlements to the Consolidated Fund</w:t>
      </w:r>
      <w:r w:rsidRPr="00E46DF4">
        <w:rPr>
          <w:rFonts w:cs="Arial"/>
          <w:b/>
          <w:bCs/>
        </w:rPr>
        <w:t>?</w:t>
      </w:r>
    </w:p>
    <w:p w14:paraId="3C483C70" w14:textId="6DCB0CB6" w:rsidR="00ED037D" w:rsidRPr="00E46DF4" w:rsidRDefault="00AF735B" w:rsidP="006D54DC">
      <w:pPr>
        <w:rPr>
          <w:b/>
          <w:bCs/>
        </w:rPr>
      </w:pPr>
      <w:r w:rsidRPr="00E46DF4">
        <w:rPr>
          <w:b/>
          <w:bCs/>
        </w:rPr>
        <w:t>[Free text box]</w:t>
      </w:r>
    </w:p>
    <w:p w14:paraId="23C3D317" w14:textId="230ACC92" w:rsidR="0007048D" w:rsidRDefault="0007048D" w:rsidP="006D54DC">
      <w:pPr>
        <w:pStyle w:val="ListParagraph"/>
        <w:numPr>
          <w:ilvl w:val="0"/>
          <w:numId w:val="12"/>
        </w:numPr>
        <w:rPr>
          <w:rFonts w:cs="Arial"/>
          <w:b/>
          <w:bCs/>
        </w:rPr>
      </w:pPr>
      <w:r>
        <w:rPr>
          <w:rFonts w:cs="Arial"/>
          <w:b/>
          <w:bCs/>
        </w:rPr>
        <w:lastRenderedPageBreak/>
        <w:t xml:space="preserve">Do you consider that there is an alternative destination </w:t>
      </w:r>
      <w:r w:rsidR="00974892">
        <w:rPr>
          <w:rFonts w:cs="Arial"/>
          <w:b/>
          <w:bCs/>
        </w:rPr>
        <w:t>for future regulatory settlements that we have not considered?</w:t>
      </w:r>
    </w:p>
    <w:p w14:paraId="69984CCF" w14:textId="77777777" w:rsidR="00974892" w:rsidRDefault="00974892" w:rsidP="006D54DC">
      <w:pPr>
        <w:rPr>
          <w:b/>
          <w:bCs/>
        </w:rPr>
      </w:pPr>
      <w:r w:rsidRPr="00E46DF4">
        <w:rPr>
          <w:b/>
          <w:bCs/>
        </w:rPr>
        <w:t>[Free text box]</w:t>
      </w:r>
    </w:p>
    <w:p w14:paraId="3A435726" w14:textId="69C8996B" w:rsidR="00ED037D" w:rsidRPr="00E46DF4" w:rsidRDefault="00ED037D" w:rsidP="006D54DC">
      <w:pPr>
        <w:pStyle w:val="ListParagraph"/>
        <w:numPr>
          <w:ilvl w:val="0"/>
          <w:numId w:val="12"/>
        </w:numPr>
        <w:rPr>
          <w:rFonts w:cs="Arial"/>
          <w:b/>
          <w:bCs/>
        </w:rPr>
      </w:pPr>
      <w:r w:rsidRPr="00E46DF4">
        <w:rPr>
          <w:rFonts w:cs="Arial"/>
          <w:b/>
          <w:bCs/>
        </w:rPr>
        <w:t xml:space="preserve">Are there any additional issues related to </w:t>
      </w:r>
      <w:r w:rsidR="00AF735B" w:rsidRPr="00E46DF4">
        <w:rPr>
          <w:rFonts w:cs="Arial"/>
          <w:b/>
          <w:bCs/>
        </w:rPr>
        <w:t xml:space="preserve">amending the </w:t>
      </w:r>
      <w:r w:rsidR="00C65C69" w:rsidRPr="00E46DF4">
        <w:rPr>
          <w:rFonts w:cs="Arial"/>
          <w:b/>
          <w:bCs/>
        </w:rPr>
        <w:t xml:space="preserve">destination for future regulatory settlements </w:t>
      </w:r>
      <w:r w:rsidRPr="00E46DF4">
        <w:rPr>
          <w:rFonts w:cs="Arial"/>
          <w:b/>
          <w:bCs/>
        </w:rPr>
        <w:t>that we should consider?</w:t>
      </w:r>
    </w:p>
    <w:p w14:paraId="4B88B4B2" w14:textId="3EBD6B68" w:rsidR="00ED037D" w:rsidRDefault="00AF735B" w:rsidP="006D54DC">
      <w:pPr>
        <w:rPr>
          <w:b/>
          <w:bCs/>
        </w:rPr>
      </w:pPr>
      <w:r w:rsidRPr="00E46DF4">
        <w:rPr>
          <w:b/>
          <w:bCs/>
        </w:rPr>
        <w:t>[Free text box]</w:t>
      </w:r>
    </w:p>
    <w:p w14:paraId="1F662330" w14:textId="56CA1D4F" w:rsidR="00281B92" w:rsidRDefault="006D0F45" w:rsidP="006D54DC">
      <w:pPr>
        <w:pStyle w:val="ListParagraph"/>
        <w:numPr>
          <w:ilvl w:val="0"/>
          <w:numId w:val="12"/>
        </w:numPr>
        <w:rPr>
          <w:b/>
          <w:bCs/>
        </w:rPr>
      </w:pPr>
      <w:r>
        <w:rPr>
          <w:b/>
          <w:bCs/>
        </w:rPr>
        <w:t xml:space="preserve">Do you have any views on the </w:t>
      </w:r>
      <w:r w:rsidR="00281B92">
        <w:rPr>
          <w:b/>
          <w:bCs/>
        </w:rPr>
        <w:t xml:space="preserve">proposed timetable for </w:t>
      </w:r>
      <w:r w:rsidR="00847BBD">
        <w:rPr>
          <w:b/>
          <w:bCs/>
        </w:rPr>
        <w:t>implementation?</w:t>
      </w:r>
    </w:p>
    <w:p w14:paraId="02EEA317" w14:textId="77777777" w:rsidR="00847BBD" w:rsidRPr="00847BBD" w:rsidRDefault="00847BBD" w:rsidP="006D54DC">
      <w:pPr>
        <w:rPr>
          <w:b/>
          <w:bCs/>
        </w:rPr>
      </w:pPr>
      <w:r w:rsidRPr="00847BBD">
        <w:rPr>
          <w:b/>
          <w:bCs/>
        </w:rPr>
        <w:t>[Free text box]</w:t>
      </w:r>
    </w:p>
    <w:p w14:paraId="1CE2EE57" w14:textId="77777777" w:rsidR="00847BBD" w:rsidRPr="00281B92" w:rsidRDefault="00847BBD" w:rsidP="00847BBD">
      <w:pPr>
        <w:pStyle w:val="ListParagraph"/>
        <w:ind w:left="360"/>
        <w:rPr>
          <w:b/>
          <w:bCs/>
        </w:rPr>
      </w:pPr>
    </w:p>
    <w:p w14:paraId="684C6079" w14:textId="5B814335" w:rsidR="00F129EE" w:rsidRPr="00E46DF4" w:rsidRDefault="00F129EE" w:rsidP="00F129EE">
      <w:pPr>
        <w:rPr>
          <w:b/>
          <w:bCs/>
        </w:rPr>
      </w:pPr>
      <w:r w:rsidRPr="00E46DF4">
        <w:rPr>
          <w:b/>
          <w:bCs/>
        </w:rPr>
        <w:t>Equalities Impact Assessment</w:t>
      </w:r>
    </w:p>
    <w:p w14:paraId="551DF0C6" w14:textId="7F95B895" w:rsidR="00F129EE" w:rsidRPr="00E46DF4" w:rsidRDefault="00F129EE" w:rsidP="00F129EE">
      <w:r w:rsidRPr="00E46DF4">
        <w:t>Our initial assessment indicates that th</w:t>
      </w:r>
      <w:r w:rsidR="00C65C69" w:rsidRPr="00E46DF4">
        <w:t>is</w:t>
      </w:r>
      <w:r w:rsidRPr="00E46DF4">
        <w:t xml:space="preserve"> proposal do</w:t>
      </w:r>
      <w:r w:rsidR="00C65C69" w:rsidRPr="00E46DF4">
        <w:t>es</w:t>
      </w:r>
      <w:r w:rsidRPr="00E46DF4">
        <w:t xml:space="preserve"> not have a negative impact on the protected characteristics outlined in the Equality Act 2010. </w:t>
      </w:r>
      <w:r w:rsidR="00386B0E" w:rsidRPr="00E46DF4">
        <w:t>It</w:t>
      </w:r>
      <w:r w:rsidRPr="00E46DF4">
        <w:t xml:space="preserve"> do</w:t>
      </w:r>
      <w:r w:rsidR="00386B0E" w:rsidRPr="00E46DF4">
        <w:t>es</w:t>
      </w:r>
      <w:r w:rsidRPr="00E46DF4">
        <w:t xml:space="preserve"> not give rise to unlawful discrimination, harassment or victimisation or other conduct prohibited under </w:t>
      </w:r>
      <w:r w:rsidR="00386B0E" w:rsidRPr="00E46DF4">
        <w:t xml:space="preserve">the </w:t>
      </w:r>
      <w:r w:rsidRPr="00E46DF4">
        <w:t xml:space="preserve">Act. </w:t>
      </w:r>
    </w:p>
    <w:p w14:paraId="4BC38D6E" w14:textId="7A8FCEA9" w:rsidR="00F129EE" w:rsidRPr="00E46DF4" w:rsidRDefault="00F129EE" w:rsidP="00F129EE">
      <w:r w:rsidRPr="00E46DF4">
        <w:t xml:space="preserve">At present, we do not consider that the proposal </w:t>
      </w:r>
      <w:r w:rsidR="00386B0E" w:rsidRPr="00E46DF4">
        <w:t xml:space="preserve">would </w:t>
      </w:r>
      <w:r w:rsidRPr="00E46DF4">
        <w:t xml:space="preserve">diminish equality of opportunity or foster poor relations between individuals who share a protected characteristic and those who do </w:t>
      </w:r>
      <w:proofErr w:type="gramStart"/>
      <w:r w:rsidRPr="00E46DF4">
        <w:t>not</w:t>
      </w:r>
      <w:proofErr w:type="gramEnd"/>
      <w:r w:rsidR="00386B0E" w:rsidRPr="00E46DF4">
        <w:t xml:space="preserve"> but w</w:t>
      </w:r>
      <w:r w:rsidRPr="00E46DF4">
        <w:t>e will continue to keep this position under review and welcome any views in relation to this.</w:t>
      </w:r>
    </w:p>
    <w:p w14:paraId="22C85339" w14:textId="77777777" w:rsidR="00C66B01" w:rsidRPr="00C66B01" w:rsidRDefault="00F129EE" w:rsidP="00C66B01">
      <w:r w:rsidRPr="00E46DF4">
        <w:t xml:space="preserve">Do you have any evidence or information which might assist the Commission in considering any equalities impacts, within the meaning of section 149 of the Equality Act 2010, </w:t>
      </w:r>
      <w:r w:rsidR="00C66B01" w:rsidRPr="00C66B01">
        <w:t>relating to the proposal in this consultation?</w:t>
      </w:r>
    </w:p>
    <w:p w14:paraId="6092436F" w14:textId="77777777" w:rsidR="00F129EE" w:rsidRPr="00E46DF4" w:rsidRDefault="00F129EE" w:rsidP="00F129EE">
      <w:pPr>
        <w:rPr>
          <w:b/>
          <w:bCs/>
        </w:rPr>
      </w:pPr>
      <w:r w:rsidRPr="00E46DF4">
        <w:rPr>
          <w:b/>
          <w:bCs/>
        </w:rPr>
        <w:t>[Free text box]</w:t>
      </w:r>
    </w:p>
    <w:p w14:paraId="6631D88E" w14:textId="2C29E5CA" w:rsidR="00F129EE" w:rsidRPr="00E46DF4" w:rsidRDefault="00F129EE" w:rsidP="00F129EE">
      <w:r w:rsidRPr="00E46DF4">
        <w:t>Further information: </w:t>
      </w:r>
      <w:hyperlink r:id="rId33" w:history="1">
        <w:r w:rsidRPr="00E46DF4">
          <w:rPr>
            <w:rStyle w:val="Hyperlink"/>
          </w:rPr>
          <w:t>Section 149 Equality Act 2010</w:t>
        </w:r>
      </w:hyperlink>
    </w:p>
    <w:p w14:paraId="37FDDA2F" w14:textId="1EA1C38A" w:rsidR="00004883" w:rsidRPr="00E46DF4" w:rsidRDefault="00F129EE" w:rsidP="00004883">
      <w:pPr>
        <w:rPr>
          <w:b/>
          <w:bCs/>
        </w:rPr>
      </w:pPr>
      <w:r w:rsidRPr="00E46DF4">
        <w:t xml:space="preserve">Click here for the </w:t>
      </w:r>
      <w:hyperlink r:id="rId34" w:history="1">
        <w:r w:rsidR="00091B14">
          <w:rPr>
            <w:rStyle w:val="Hyperlink"/>
          </w:rPr>
          <w:t>Government</w:t>
        </w:r>
        <w:r w:rsidR="00004883" w:rsidRPr="00E46DF4">
          <w:rPr>
            <w:rStyle w:val="Hyperlink"/>
          </w:rPr>
          <w:t xml:space="preserve"> response to the consultation on the structure, distribution and governance of the statutory levy on gambling operators</w:t>
        </w:r>
      </w:hyperlink>
      <w:r w:rsidR="00004883" w:rsidRPr="00E46DF4">
        <w:t>.</w:t>
      </w:r>
    </w:p>
    <w:p w14:paraId="3333BA05" w14:textId="618A5C7E" w:rsidR="00F129EE" w:rsidRPr="00E46DF4" w:rsidRDefault="00F129EE" w:rsidP="00F129EE">
      <w:pPr>
        <w:rPr>
          <w:u w:val="single"/>
        </w:rPr>
      </w:pPr>
      <w:r w:rsidRPr="00E46DF4">
        <w:t>Click here for the</w:t>
      </w:r>
      <w:r w:rsidR="000F591C" w:rsidRPr="00E46DF4">
        <w:t xml:space="preserve"> </w:t>
      </w:r>
      <w:hyperlink r:id="rId35" w:history="1">
        <w:r w:rsidR="00AB1DBD" w:rsidRPr="00E46DF4">
          <w:rPr>
            <w:rStyle w:val="Hyperlink"/>
          </w:rPr>
          <w:t xml:space="preserve">written statement on how levy </w:t>
        </w:r>
        <w:r w:rsidR="000F591C" w:rsidRPr="00E46DF4">
          <w:rPr>
            <w:rStyle w:val="Hyperlink"/>
          </w:rPr>
          <w:t>funding will be directed in specific proportions for the purposes of research, prevention and treatment of gambling-related harm</w:t>
        </w:r>
      </w:hyperlink>
      <w:r w:rsidRPr="00E46DF4">
        <w:rPr>
          <w:u w:val="single"/>
        </w:rPr>
        <w:t>.</w:t>
      </w:r>
    </w:p>
    <w:p w14:paraId="248CC25F" w14:textId="6A89501C" w:rsidR="000D2BC8" w:rsidRPr="00672CD7" w:rsidRDefault="00386B0E" w:rsidP="000D2BC8">
      <w:pPr>
        <w:spacing w:after="0" w:line="240" w:lineRule="auto"/>
        <w:rPr>
          <w:b/>
          <w:bCs/>
        </w:rPr>
      </w:pPr>
      <w:r w:rsidRPr="00E46DF4">
        <w:rPr>
          <w:u w:val="single"/>
        </w:rPr>
        <w:t xml:space="preserve">Click here for details of </w:t>
      </w:r>
      <w:r w:rsidR="00BE6A25" w:rsidRPr="00E46DF4">
        <w:rPr>
          <w:u w:val="single"/>
        </w:rPr>
        <w:t>OHID’s new</w:t>
      </w:r>
      <w:r w:rsidRPr="00E46DF4">
        <w:rPr>
          <w:u w:val="single"/>
        </w:rPr>
        <w:t xml:space="preserve"> </w:t>
      </w:r>
      <w:hyperlink r:id="rId36" w:history="1">
        <w:r w:rsidR="000D2BC8" w:rsidRPr="001268F9">
          <w:rPr>
            <w:rStyle w:val="Hyperlink"/>
          </w:rPr>
          <w:t>Gambling Harms Prevention: Voluntary, Community and Social Enterprise (VCSE) Grant Fund</w:t>
        </w:r>
      </w:hyperlink>
      <w:r w:rsidR="000D2BC8">
        <w:t>.</w:t>
      </w:r>
    </w:p>
    <w:p w14:paraId="62742C8E" w14:textId="77777777" w:rsidR="00F129EE" w:rsidRPr="00E46DF4" w:rsidRDefault="00F129EE" w:rsidP="00F129EE">
      <w:pPr>
        <w:rPr>
          <w:b/>
          <w:bCs/>
        </w:rPr>
      </w:pPr>
    </w:p>
    <w:p w14:paraId="1A91C20E" w14:textId="77777777" w:rsidR="00643DCF" w:rsidRDefault="00643DCF"/>
    <w:sectPr w:rsidR="00643DCF" w:rsidSect="008E5DD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10CD" w14:textId="77777777" w:rsidR="00ED7776" w:rsidRDefault="00ED7776" w:rsidP="00227881">
      <w:pPr>
        <w:spacing w:after="0" w:line="240" w:lineRule="auto"/>
      </w:pPr>
      <w:r>
        <w:separator/>
      </w:r>
    </w:p>
  </w:endnote>
  <w:endnote w:type="continuationSeparator" w:id="0">
    <w:p w14:paraId="2AEA7F71" w14:textId="77777777" w:rsidR="00ED7776" w:rsidRDefault="00ED7776" w:rsidP="0022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E7A1" w14:textId="77777777" w:rsidR="00227881" w:rsidRDefault="00227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9616" w14:textId="77777777" w:rsidR="00227881" w:rsidRDefault="00227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3986" w14:textId="77777777" w:rsidR="00227881" w:rsidRDefault="00227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B55A" w14:textId="77777777" w:rsidR="00ED7776" w:rsidRDefault="00ED7776" w:rsidP="00227881">
      <w:pPr>
        <w:spacing w:after="0" w:line="240" w:lineRule="auto"/>
      </w:pPr>
      <w:r>
        <w:separator/>
      </w:r>
    </w:p>
  </w:footnote>
  <w:footnote w:type="continuationSeparator" w:id="0">
    <w:p w14:paraId="7304CE4E" w14:textId="77777777" w:rsidR="00ED7776" w:rsidRDefault="00ED7776" w:rsidP="00227881">
      <w:pPr>
        <w:spacing w:after="0" w:line="240" w:lineRule="auto"/>
      </w:pPr>
      <w:r>
        <w:continuationSeparator/>
      </w:r>
    </w:p>
  </w:footnote>
  <w:footnote w:id="1">
    <w:p w14:paraId="106C78EE" w14:textId="0F61C2A5" w:rsidR="00132A84" w:rsidRPr="008F230F" w:rsidRDefault="00132A84">
      <w:pPr>
        <w:pStyle w:val="FootnoteText"/>
        <w:rPr>
          <w:sz w:val="16"/>
          <w:szCs w:val="16"/>
        </w:rPr>
      </w:pPr>
      <w:r w:rsidRPr="008F230F">
        <w:rPr>
          <w:rStyle w:val="FootnoteReference"/>
          <w:sz w:val="16"/>
          <w:szCs w:val="16"/>
        </w:rPr>
        <w:footnoteRef/>
      </w:r>
      <w:r w:rsidRPr="008F230F">
        <w:rPr>
          <w:sz w:val="16"/>
          <w:szCs w:val="16"/>
        </w:rPr>
        <w:t xml:space="preserve"> </w:t>
      </w:r>
      <w:hyperlink r:id="rId1" w:history="1">
        <w:r w:rsidR="008F230F" w:rsidRPr="00635863">
          <w:rPr>
            <w:rStyle w:val="Hyperlink"/>
            <w:sz w:val="16"/>
            <w:szCs w:val="16"/>
          </w:rPr>
          <w:t>The Consolidated Fund receives the proceeds of taxation and other government receipts which fund public expenditure</w:t>
        </w:r>
      </w:hyperlink>
      <w:r w:rsidR="008F230F" w:rsidRPr="008F230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6E32" w14:textId="77777777" w:rsidR="00227881" w:rsidRDefault="00227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AE6" w14:textId="206BFA6A" w:rsidR="00227881" w:rsidRDefault="00227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DB1B" w14:textId="77777777" w:rsidR="00227881" w:rsidRDefault="00227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3B3"/>
    <w:multiLevelType w:val="multilevel"/>
    <w:tmpl w:val="9CE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A3C2F"/>
    <w:multiLevelType w:val="hybridMultilevel"/>
    <w:tmpl w:val="9D2E8DF4"/>
    <w:lvl w:ilvl="0" w:tplc="750E37DC">
      <w:start w:val="1"/>
      <w:numFmt w:val="decimal"/>
      <w:lvlText w:val="%1."/>
      <w:lvlJc w:val="left"/>
      <w:pPr>
        <w:ind w:left="360" w:hanging="360"/>
      </w:pPr>
      <w:rPr>
        <w:rFonts w:hint="default"/>
        <w:b/>
        <w:bCs/>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D963F1"/>
    <w:multiLevelType w:val="multilevel"/>
    <w:tmpl w:val="E3B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E097F"/>
    <w:multiLevelType w:val="hybridMultilevel"/>
    <w:tmpl w:val="49BC3A46"/>
    <w:lvl w:ilvl="0" w:tplc="87068646">
      <w:start w:val="1"/>
      <w:numFmt w:val="bullet"/>
      <w:lvlText w:val=""/>
      <w:lvlJc w:val="left"/>
      <w:pPr>
        <w:ind w:left="720" w:hanging="360"/>
      </w:pPr>
      <w:rPr>
        <w:rFonts w:ascii="Symbol" w:hAnsi="Symbol" w:hint="default"/>
      </w:rPr>
    </w:lvl>
    <w:lvl w:ilvl="1" w:tplc="B630CEE8">
      <w:start w:val="1"/>
      <w:numFmt w:val="bullet"/>
      <w:lvlText w:val="o"/>
      <w:lvlJc w:val="left"/>
      <w:pPr>
        <w:ind w:left="1440" w:hanging="360"/>
      </w:pPr>
      <w:rPr>
        <w:rFonts w:ascii="Courier New" w:hAnsi="Courier New" w:cs="Times New Roman" w:hint="default"/>
      </w:rPr>
    </w:lvl>
    <w:lvl w:ilvl="2" w:tplc="0FD6F37C">
      <w:start w:val="1"/>
      <w:numFmt w:val="bullet"/>
      <w:lvlText w:val=""/>
      <w:lvlJc w:val="left"/>
      <w:pPr>
        <w:ind w:left="2160" w:hanging="360"/>
      </w:pPr>
      <w:rPr>
        <w:rFonts w:ascii="Wingdings" w:hAnsi="Wingdings" w:hint="default"/>
      </w:rPr>
    </w:lvl>
    <w:lvl w:ilvl="3" w:tplc="763C602C">
      <w:start w:val="1"/>
      <w:numFmt w:val="bullet"/>
      <w:lvlText w:val=""/>
      <w:lvlJc w:val="left"/>
      <w:pPr>
        <w:ind w:left="2880" w:hanging="360"/>
      </w:pPr>
      <w:rPr>
        <w:rFonts w:ascii="Symbol" w:hAnsi="Symbol" w:hint="default"/>
      </w:rPr>
    </w:lvl>
    <w:lvl w:ilvl="4" w:tplc="CAF472E0">
      <w:start w:val="1"/>
      <w:numFmt w:val="bullet"/>
      <w:lvlText w:val="o"/>
      <w:lvlJc w:val="left"/>
      <w:pPr>
        <w:ind w:left="3600" w:hanging="360"/>
      </w:pPr>
      <w:rPr>
        <w:rFonts w:ascii="Courier New" w:hAnsi="Courier New" w:cs="Times New Roman" w:hint="default"/>
      </w:rPr>
    </w:lvl>
    <w:lvl w:ilvl="5" w:tplc="6C5A2D9E">
      <w:start w:val="1"/>
      <w:numFmt w:val="bullet"/>
      <w:lvlText w:val=""/>
      <w:lvlJc w:val="left"/>
      <w:pPr>
        <w:ind w:left="4320" w:hanging="360"/>
      </w:pPr>
      <w:rPr>
        <w:rFonts w:ascii="Wingdings" w:hAnsi="Wingdings" w:hint="default"/>
      </w:rPr>
    </w:lvl>
    <w:lvl w:ilvl="6" w:tplc="4DAE7BB2">
      <w:start w:val="1"/>
      <w:numFmt w:val="bullet"/>
      <w:lvlText w:val=""/>
      <w:lvlJc w:val="left"/>
      <w:pPr>
        <w:ind w:left="5040" w:hanging="360"/>
      </w:pPr>
      <w:rPr>
        <w:rFonts w:ascii="Symbol" w:hAnsi="Symbol" w:hint="default"/>
      </w:rPr>
    </w:lvl>
    <w:lvl w:ilvl="7" w:tplc="CA047782">
      <w:start w:val="1"/>
      <w:numFmt w:val="bullet"/>
      <w:lvlText w:val="o"/>
      <w:lvlJc w:val="left"/>
      <w:pPr>
        <w:ind w:left="5760" w:hanging="360"/>
      </w:pPr>
      <w:rPr>
        <w:rFonts w:ascii="Courier New" w:hAnsi="Courier New" w:cs="Times New Roman" w:hint="default"/>
      </w:rPr>
    </w:lvl>
    <w:lvl w:ilvl="8" w:tplc="12861D02">
      <w:start w:val="1"/>
      <w:numFmt w:val="bullet"/>
      <w:lvlText w:val=""/>
      <w:lvlJc w:val="left"/>
      <w:pPr>
        <w:ind w:left="6480" w:hanging="360"/>
      </w:pPr>
      <w:rPr>
        <w:rFonts w:ascii="Wingdings" w:hAnsi="Wingdings" w:hint="default"/>
      </w:rPr>
    </w:lvl>
  </w:abstractNum>
  <w:abstractNum w:abstractNumId="4" w15:restartNumberingAfterBreak="0">
    <w:nsid w:val="2B330BB6"/>
    <w:multiLevelType w:val="hybridMultilevel"/>
    <w:tmpl w:val="27A42CA2"/>
    <w:lvl w:ilvl="0" w:tplc="1EBA48C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300" w:hanging="360"/>
      </w:pPr>
      <w:rPr>
        <w:rFonts w:ascii="Courier New" w:hAnsi="Courier New" w:cs="Courier New" w:hint="default"/>
      </w:rPr>
    </w:lvl>
    <w:lvl w:ilvl="2" w:tplc="08090005" w:tentative="1">
      <w:start w:val="1"/>
      <w:numFmt w:val="bullet"/>
      <w:lvlText w:val=""/>
      <w:lvlJc w:val="left"/>
      <w:pPr>
        <w:ind w:left="1020" w:hanging="360"/>
      </w:pPr>
      <w:rPr>
        <w:rFonts w:ascii="Wingdings" w:hAnsi="Wingdings" w:hint="default"/>
      </w:rPr>
    </w:lvl>
    <w:lvl w:ilvl="3" w:tplc="08090001" w:tentative="1">
      <w:start w:val="1"/>
      <w:numFmt w:val="bullet"/>
      <w:lvlText w:val=""/>
      <w:lvlJc w:val="left"/>
      <w:pPr>
        <w:ind w:left="1740" w:hanging="360"/>
      </w:pPr>
      <w:rPr>
        <w:rFonts w:ascii="Symbol" w:hAnsi="Symbol" w:hint="default"/>
      </w:rPr>
    </w:lvl>
    <w:lvl w:ilvl="4" w:tplc="08090003" w:tentative="1">
      <w:start w:val="1"/>
      <w:numFmt w:val="bullet"/>
      <w:lvlText w:val="o"/>
      <w:lvlJc w:val="left"/>
      <w:pPr>
        <w:ind w:left="2460" w:hanging="360"/>
      </w:pPr>
      <w:rPr>
        <w:rFonts w:ascii="Courier New" w:hAnsi="Courier New" w:cs="Courier New" w:hint="default"/>
      </w:rPr>
    </w:lvl>
    <w:lvl w:ilvl="5" w:tplc="08090005" w:tentative="1">
      <w:start w:val="1"/>
      <w:numFmt w:val="bullet"/>
      <w:lvlText w:val=""/>
      <w:lvlJc w:val="left"/>
      <w:pPr>
        <w:ind w:left="3180" w:hanging="360"/>
      </w:pPr>
      <w:rPr>
        <w:rFonts w:ascii="Wingdings" w:hAnsi="Wingdings" w:hint="default"/>
      </w:rPr>
    </w:lvl>
    <w:lvl w:ilvl="6" w:tplc="08090001" w:tentative="1">
      <w:start w:val="1"/>
      <w:numFmt w:val="bullet"/>
      <w:lvlText w:val=""/>
      <w:lvlJc w:val="left"/>
      <w:pPr>
        <w:ind w:left="3900" w:hanging="360"/>
      </w:pPr>
      <w:rPr>
        <w:rFonts w:ascii="Symbol" w:hAnsi="Symbol" w:hint="default"/>
      </w:rPr>
    </w:lvl>
    <w:lvl w:ilvl="7" w:tplc="08090003" w:tentative="1">
      <w:start w:val="1"/>
      <w:numFmt w:val="bullet"/>
      <w:lvlText w:val="o"/>
      <w:lvlJc w:val="left"/>
      <w:pPr>
        <w:ind w:left="4620" w:hanging="360"/>
      </w:pPr>
      <w:rPr>
        <w:rFonts w:ascii="Courier New" w:hAnsi="Courier New" w:cs="Courier New" w:hint="default"/>
      </w:rPr>
    </w:lvl>
    <w:lvl w:ilvl="8" w:tplc="08090005" w:tentative="1">
      <w:start w:val="1"/>
      <w:numFmt w:val="bullet"/>
      <w:lvlText w:val=""/>
      <w:lvlJc w:val="left"/>
      <w:pPr>
        <w:ind w:left="5340" w:hanging="360"/>
      </w:pPr>
      <w:rPr>
        <w:rFonts w:ascii="Wingdings" w:hAnsi="Wingdings" w:hint="default"/>
      </w:rPr>
    </w:lvl>
  </w:abstractNum>
  <w:abstractNum w:abstractNumId="5" w15:restartNumberingAfterBreak="0">
    <w:nsid w:val="359D06D2"/>
    <w:multiLevelType w:val="hybridMultilevel"/>
    <w:tmpl w:val="F1DAB9A4"/>
    <w:lvl w:ilvl="0" w:tplc="0809000F">
      <w:start w:val="1"/>
      <w:numFmt w:val="decimal"/>
      <w:lvlText w:val="%1."/>
      <w:lvlJc w:val="left"/>
      <w:pPr>
        <w:ind w:left="360" w:hanging="360"/>
      </w:pPr>
      <w:rPr>
        <w:rFonts w:hint="default"/>
        <w:b w:val="0"/>
        <w:bCs/>
        <w:color w:val="auto"/>
      </w:rPr>
    </w:lvl>
    <w:lvl w:ilvl="1" w:tplc="1EBA48CC">
      <w:start w:val="1"/>
      <w:numFmt w:val="bullet"/>
      <w:lvlText w:val=""/>
      <w:lvlJc w:val="left"/>
      <w:pPr>
        <w:ind w:left="1080" w:hanging="360"/>
      </w:pPr>
      <w:rPr>
        <w:rFonts w:ascii="Symbol" w:hAnsi="Symbol"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137BEE"/>
    <w:multiLevelType w:val="multilevel"/>
    <w:tmpl w:val="4DF4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E20287"/>
    <w:multiLevelType w:val="multilevel"/>
    <w:tmpl w:val="36FA9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552BB"/>
    <w:multiLevelType w:val="hybridMultilevel"/>
    <w:tmpl w:val="35A6A63A"/>
    <w:lvl w:ilvl="0" w:tplc="0809000F">
      <w:start w:val="1"/>
      <w:numFmt w:val="decimal"/>
      <w:lvlText w:val="%1."/>
      <w:lvlJc w:val="left"/>
      <w:pPr>
        <w:ind w:left="360" w:hanging="360"/>
      </w:pPr>
      <w:rPr>
        <w:rFonts w:hint="default"/>
        <w:b w:val="0"/>
        <w:b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66321A"/>
    <w:multiLevelType w:val="multilevel"/>
    <w:tmpl w:val="8E8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A001B"/>
    <w:multiLevelType w:val="hybridMultilevel"/>
    <w:tmpl w:val="191822B2"/>
    <w:lvl w:ilvl="0" w:tplc="34448EBE">
      <w:start w:val="1"/>
      <w:numFmt w:val="bullet"/>
      <w:lvlText w:val="·"/>
      <w:lvlJc w:val="left"/>
      <w:pPr>
        <w:ind w:left="720" w:hanging="360"/>
      </w:pPr>
      <w:rPr>
        <w:rFonts w:ascii="Symbol" w:hAnsi="Symbol" w:hint="default"/>
      </w:rPr>
    </w:lvl>
    <w:lvl w:ilvl="1" w:tplc="8324A25E">
      <w:start w:val="1"/>
      <w:numFmt w:val="bullet"/>
      <w:lvlText w:val="o"/>
      <w:lvlJc w:val="left"/>
      <w:pPr>
        <w:ind w:left="1440" w:hanging="360"/>
      </w:pPr>
      <w:rPr>
        <w:rFonts w:ascii="Courier New" w:hAnsi="Courier New" w:cs="Times New Roman" w:hint="default"/>
      </w:rPr>
    </w:lvl>
    <w:lvl w:ilvl="2" w:tplc="8728AA46">
      <w:start w:val="1"/>
      <w:numFmt w:val="bullet"/>
      <w:lvlText w:val=""/>
      <w:lvlJc w:val="left"/>
      <w:pPr>
        <w:ind w:left="2160" w:hanging="360"/>
      </w:pPr>
      <w:rPr>
        <w:rFonts w:ascii="Wingdings" w:hAnsi="Wingdings" w:hint="default"/>
      </w:rPr>
    </w:lvl>
    <w:lvl w:ilvl="3" w:tplc="B63237B0">
      <w:start w:val="1"/>
      <w:numFmt w:val="bullet"/>
      <w:lvlText w:val=""/>
      <w:lvlJc w:val="left"/>
      <w:pPr>
        <w:ind w:left="2880" w:hanging="360"/>
      </w:pPr>
      <w:rPr>
        <w:rFonts w:ascii="Symbol" w:hAnsi="Symbol" w:hint="default"/>
      </w:rPr>
    </w:lvl>
    <w:lvl w:ilvl="4" w:tplc="D58CDAE0">
      <w:start w:val="1"/>
      <w:numFmt w:val="bullet"/>
      <w:lvlText w:val="o"/>
      <w:lvlJc w:val="left"/>
      <w:pPr>
        <w:ind w:left="3600" w:hanging="360"/>
      </w:pPr>
      <w:rPr>
        <w:rFonts w:ascii="Courier New" w:hAnsi="Courier New" w:cs="Times New Roman" w:hint="default"/>
      </w:rPr>
    </w:lvl>
    <w:lvl w:ilvl="5" w:tplc="4D74B858">
      <w:start w:val="1"/>
      <w:numFmt w:val="bullet"/>
      <w:lvlText w:val=""/>
      <w:lvlJc w:val="left"/>
      <w:pPr>
        <w:ind w:left="4320" w:hanging="360"/>
      </w:pPr>
      <w:rPr>
        <w:rFonts w:ascii="Wingdings" w:hAnsi="Wingdings" w:hint="default"/>
      </w:rPr>
    </w:lvl>
    <w:lvl w:ilvl="6" w:tplc="8B8A9DCE">
      <w:start w:val="1"/>
      <w:numFmt w:val="bullet"/>
      <w:lvlText w:val=""/>
      <w:lvlJc w:val="left"/>
      <w:pPr>
        <w:ind w:left="5040" w:hanging="360"/>
      </w:pPr>
      <w:rPr>
        <w:rFonts w:ascii="Symbol" w:hAnsi="Symbol" w:hint="default"/>
      </w:rPr>
    </w:lvl>
    <w:lvl w:ilvl="7" w:tplc="8D3A4C16">
      <w:start w:val="1"/>
      <w:numFmt w:val="bullet"/>
      <w:lvlText w:val="o"/>
      <w:lvlJc w:val="left"/>
      <w:pPr>
        <w:ind w:left="5760" w:hanging="360"/>
      </w:pPr>
      <w:rPr>
        <w:rFonts w:ascii="Courier New" w:hAnsi="Courier New" w:cs="Times New Roman" w:hint="default"/>
      </w:rPr>
    </w:lvl>
    <w:lvl w:ilvl="8" w:tplc="538A3890">
      <w:start w:val="1"/>
      <w:numFmt w:val="bullet"/>
      <w:lvlText w:val=""/>
      <w:lvlJc w:val="left"/>
      <w:pPr>
        <w:ind w:left="6480" w:hanging="360"/>
      </w:pPr>
      <w:rPr>
        <w:rFonts w:ascii="Wingdings" w:hAnsi="Wingdings" w:hint="default"/>
      </w:rPr>
    </w:lvl>
  </w:abstractNum>
  <w:abstractNum w:abstractNumId="11" w15:restartNumberingAfterBreak="0">
    <w:nsid w:val="6E4B516B"/>
    <w:multiLevelType w:val="hybridMultilevel"/>
    <w:tmpl w:val="F99A5282"/>
    <w:lvl w:ilvl="0" w:tplc="25C443A0">
      <w:start w:val="1"/>
      <w:numFmt w:val="decimal"/>
      <w:lvlText w:val="%1."/>
      <w:lvlJc w:val="left"/>
      <w:pPr>
        <w:ind w:left="360" w:hanging="360"/>
      </w:pPr>
    </w:lvl>
    <w:lvl w:ilvl="1" w:tplc="A99688DE">
      <w:start w:val="1"/>
      <w:numFmt w:val="lowerLetter"/>
      <w:lvlText w:val="%2."/>
      <w:lvlJc w:val="left"/>
      <w:pPr>
        <w:ind w:left="1080" w:hanging="360"/>
      </w:pPr>
    </w:lvl>
    <w:lvl w:ilvl="2" w:tplc="19C648AA">
      <w:start w:val="1"/>
      <w:numFmt w:val="lowerRoman"/>
      <w:lvlText w:val="%3."/>
      <w:lvlJc w:val="right"/>
      <w:pPr>
        <w:ind w:left="1800" w:hanging="180"/>
      </w:pPr>
    </w:lvl>
    <w:lvl w:ilvl="3" w:tplc="2200B7FC">
      <w:start w:val="1"/>
      <w:numFmt w:val="decimal"/>
      <w:lvlText w:val="%4."/>
      <w:lvlJc w:val="left"/>
      <w:pPr>
        <w:ind w:left="2520" w:hanging="360"/>
      </w:pPr>
    </w:lvl>
    <w:lvl w:ilvl="4" w:tplc="CC7C6816">
      <w:start w:val="1"/>
      <w:numFmt w:val="lowerLetter"/>
      <w:lvlText w:val="%5."/>
      <w:lvlJc w:val="left"/>
      <w:pPr>
        <w:ind w:left="3240" w:hanging="360"/>
      </w:pPr>
    </w:lvl>
    <w:lvl w:ilvl="5" w:tplc="A7D626CE">
      <w:start w:val="1"/>
      <w:numFmt w:val="lowerRoman"/>
      <w:lvlText w:val="%6."/>
      <w:lvlJc w:val="right"/>
      <w:pPr>
        <w:ind w:left="3960" w:hanging="180"/>
      </w:pPr>
    </w:lvl>
    <w:lvl w:ilvl="6" w:tplc="243C5ED8">
      <w:start w:val="1"/>
      <w:numFmt w:val="decimal"/>
      <w:lvlText w:val="%7."/>
      <w:lvlJc w:val="left"/>
      <w:pPr>
        <w:ind w:left="4680" w:hanging="360"/>
      </w:pPr>
    </w:lvl>
    <w:lvl w:ilvl="7" w:tplc="E8CEE8E6">
      <w:start w:val="1"/>
      <w:numFmt w:val="lowerLetter"/>
      <w:lvlText w:val="%8."/>
      <w:lvlJc w:val="left"/>
      <w:pPr>
        <w:ind w:left="5400" w:hanging="360"/>
      </w:pPr>
    </w:lvl>
    <w:lvl w:ilvl="8" w:tplc="4DCE41A6">
      <w:start w:val="1"/>
      <w:numFmt w:val="lowerRoman"/>
      <w:lvlText w:val="%9."/>
      <w:lvlJc w:val="right"/>
      <w:pPr>
        <w:ind w:left="6120" w:hanging="180"/>
      </w:pPr>
    </w:lvl>
  </w:abstractNum>
  <w:abstractNum w:abstractNumId="12" w15:restartNumberingAfterBreak="0">
    <w:nsid w:val="7616E195"/>
    <w:multiLevelType w:val="hybridMultilevel"/>
    <w:tmpl w:val="7AC08DEC"/>
    <w:lvl w:ilvl="0" w:tplc="D3005A2E">
      <w:start w:val="1"/>
      <w:numFmt w:val="bullet"/>
      <w:lvlText w:val=""/>
      <w:lvlJc w:val="left"/>
      <w:pPr>
        <w:ind w:left="720" w:hanging="360"/>
      </w:pPr>
      <w:rPr>
        <w:rFonts w:ascii="Symbol" w:hAnsi="Symbol" w:hint="default"/>
      </w:rPr>
    </w:lvl>
    <w:lvl w:ilvl="1" w:tplc="25348A1C">
      <w:start w:val="1"/>
      <w:numFmt w:val="bullet"/>
      <w:lvlText w:val="o"/>
      <w:lvlJc w:val="left"/>
      <w:pPr>
        <w:ind w:left="1440" w:hanging="360"/>
      </w:pPr>
      <w:rPr>
        <w:rFonts w:ascii="Courier New" w:hAnsi="Courier New" w:cs="Times New Roman" w:hint="default"/>
      </w:rPr>
    </w:lvl>
    <w:lvl w:ilvl="2" w:tplc="E334CB96">
      <w:start w:val="1"/>
      <w:numFmt w:val="bullet"/>
      <w:lvlText w:val=""/>
      <w:lvlJc w:val="left"/>
      <w:pPr>
        <w:ind w:left="2160" w:hanging="360"/>
      </w:pPr>
      <w:rPr>
        <w:rFonts w:ascii="Wingdings" w:hAnsi="Wingdings" w:hint="default"/>
      </w:rPr>
    </w:lvl>
    <w:lvl w:ilvl="3" w:tplc="E0F23CD4">
      <w:start w:val="1"/>
      <w:numFmt w:val="bullet"/>
      <w:lvlText w:val=""/>
      <w:lvlJc w:val="left"/>
      <w:pPr>
        <w:ind w:left="2880" w:hanging="360"/>
      </w:pPr>
      <w:rPr>
        <w:rFonts w:ascii="Symbol" w:hAnsi="Symbol" w:hint="default"/>
      </w:rPr>
    </w:lvl>
    <w:lvl w:ilvl="4" w:tplc="E7A2E416">
      <w:start w:val="1"/>
      <w:numFmt w:val="bullet"/>
      <w:lvlText w:val="o"/>
      <w:lvlJc w:val="left"/>
      <w:pPr>
        <w:ind w:left="3600" w:hanging="360"/>
      </w:pPr>
      <w:rPr>
        <w:rFonts w:ascii="Courier New" w:hAnsi="Courier New" w:cs="Times New Roman" w:hint="default"/>
      </w:rPr>
    </w:lvl>
    <w:lvl w:ilvl="5" w:tplc="B44AECCE">
      <w:start w:val="1"/>
      <w:numFmt w:val="bullet"/>
      <w:lvlText w:val=""/>
      <w:lvlJc w:val="left"/>
      <w:pPr>
        <w:ind w:left="4320" w:hanging="360"/>
      </w:pPr>
      <w:rPr>
        <w:rFonts w:ascii="Wingdings" w:hAnsi="Wingdings" w:hint="default"/>
      </w:rPr>
    </w:lvl>
    <w:lvl w:ilvl="6" w:tplc="3F8C6E5E">
      <w:start w:val="1"/>
      <w:numFmt w:val="bullet"/>
      <w:lvlText w:val=""/>
      <w:lvlJc w:val="left"/>
      <w:pPr>
        <w:ind w:left="5040" w:hanging="360"/>
      </w:pPr>
      <w:rPr>
        <w:rFonts w:ascii="Symbol" w:hAnsi="Symbol" w:hint="default"/>
      </w:rPr>
    </w:lvl>
    <w:lvl w:ilvl="7" w:tplc="6D70DEA0">
      <w:start w:val="1"/>
      <w:numFmt w:val="bullet"/>
      <w:lvlText w:val="o"/>
      <w:lvlJc w:val="left"/>
      <w:pPr>
        <w:ind w:left="5760" w:hanging="360"/>
      </w:pPr>
      <w:rPr>
        <w:rFonts w:ascii="Courier New" w:hAnsi="Courier New" w:cs="Times New Roman" w:hint="default"/>
      </w:rPr>
    </w:lvl>
    <w:lvl w:ilvl="8" w:tplc="638C7B22">
      <w:start w:val="1"/>
      <w:numFmt w:val="bullet"/>
      <w:lvlText w:val=""/>
      <w:lvlJc w:val="left"/>
      <w:pPr>
        <w:ind w:left="6480" w:hanging="360"/>
      </w:pPr>
      <w:rPr>
        <w:rFonts w:ascii="Wingdings" w:hAnsi="Wingdings" w:hint="default"/>
      </w:rPr>
    </w:lvl>
  </w:abstractNum>
  <w:abstractNum w:abstractNumId="13" w15:restartNumberingAfterBreak="0">
    <w:nsid w:val="78B5161F"/>
    <w:multiLevelType w:val="hybridMultilevel"/>
    <w:tmpl w:val="00AE59A8"/>
    <w:lvl w:ilvl="0" w:tplc="EF6ED86C">
      <w:start w:val="1"/>
      <w:numFmt w:val="bullet"/>
      <w:lvlText w:val=""/>
      <w:lvlJc w:val="left"/>
      <w:pPr>
        <w:ind w:left="1140" w:hanging="360"/>
      </w:pPr>
      <w:rPr>
        <w:rFonts w:ascii="Symbol" w:hAnsi="Symbol" w:hint="default"/>
        <w:color w:val="auto"/>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7F7F86D2"/>
    <w:multiLevelType w:val="hybridMultilevel"/>
    <w:tmpl w:val="2398FB10"/>
    <w:lvl w:ilvl="0" w:tplc="55C6E618">
      <w:start w:val="1"/>
      <w:numFmt w:val="bullet"/>
      <w:lvlText w:val="·"/>
      <w:lvlJc w:val="left"/>
      <w:pPr>
        <w:ind w:left="720" w:hanging="360"/>
      </w:pPr>
      <w:rPr>
        <w:rFonts w:ascii="Symbol" w:hAnsi="Symbol" w:hint="default"/>
      </w:rPr>
    </w:lvl>
    <w:lvl w:ilvl="1" w:tplc="C3C294F6">
      <w:start w:val="1"/>
      <w:numFmt w:val="bullet"/>
      <w:lvlText w:val="o"/>
      <w:lvlJc w:val="left"/>
      <w:pPr>
        <w:ind w:left="1440" w:hanging="360"/>
      </w:pPr>
      <w:rPr>
        <w:rFonts w:ascii="Courier New" w:hAnsi="Courier New" w:cs="Times New Roman" w:hint="default"/>
      </w:rPr>
    </w:lvl>
    <w:lvl w:ilvl="2" w:tplc="419A3EF0">
      <w:start w:val="1"/>
      <w:numFmt w:val="bullet"/>
      <w:lvlText w:val=""/>
      <w:lvlJc w:val="left"/>
      <w:pPr>
        <w:ind w:left="2160" w:hanging="360"/>
      </w:pPr>
      <w:rPr>
        <w:rFonts w:ascii="Wingdings" w:hAnsi="Wingdings" w:hint="default"/>
      </w:rPr>
    </w:lvl>
    <w:lvl w:ilvl="3" w:tplc="E268743A">
      <w:start w:val="1"/>
      <w:numFmt w:val="bullet"/>
      <w:lvlText w:val=""/>
      <w:lvlJc w:val="left"/>
      <w:pPr>
        <w:ind w:left="2880" w:hanging="360"/>
      </w:pPr>
      <w:rPr>
        <w:rFonts w:ascii="Symbol" w:hAnsi="Symbol" w:hint="default"/>
      </w:rPr>
    </w:lvl>
    <w:lvl w:ilvl="4" w:tplc="6F826206">
      <w:start w:val="1"/>
      <w:numFmt w:val="bullet"/>
      <w:lvlText w:val="o"/>
      <w:lvlJc w:val="left"/>
      <w:pPr>
        <w:ind w:left="3600" w:hanging="360"/>
      </w:pPr>
      <w:rPr>
        <w:rFonts w:ascii="Courier New" w:hAnsi="Courier New" w:cs="Times New Roman" w:hint="default"/>
      </w:rPr>
    </w:lvl>
    <w:lvl w:ilvl="5" w:tplc="E042E7E8">
      <w:start w:val="1"/>
      <w:numFmt w:val="bullet"/>
      <w:lvlText w:val=""/>
      <w:lvlJc w:val="left"/>
      <w:pPr>
        <w:ind w:left="4320" w:hanging="360"/>
      </w:pPr>
      <w:rPr>
        <w:rFonts w:ascii="Wingdings" w:hAnsi="Wingdings" w:hint="default"/>
      </w:rPr>
    </w:lvl>
    <w:lvl w:ilvl="6" w:tplc="3B408A24">
      <w:start w:val="1"/>
      <w:numFmt w:val="bullet"/>
      <w:lvlText w:val=""/>
      <w:lvlJc w:val="left"/>
      <w:pPr>
        <w:ind w:left="5040" w:hanging="360"/>
      </w:pPr>
      <w:rPr>
        <w:rFonts w:ascii="Symbol" w:hAnsi="Symbol" w:hint="default"/>
      </w:rPr>
    </w:lvl>
    <w:lvl w:ilvl="7" w:tplc="05F6F6E4">
      <w:start w:val="1"/>
      <w:numFmt w:val="bullet"/>
      <w:lvlText w:val="o"/>
      <w:lvlJc w:val="left"/>
      <w:pPr>
        <w:ind w:left="5760" w:hanging="360"/>
      </w:pPr>
      <w:rPr>
        <w:rFonts w:ascii="Courier New" w:hAnsi="Courier New" w:cs="Times New Roman" w:hint="default"/>
      </w:rPr>
    </w:lvl>
    <w:lvl w:ilvl="8" w:tplc="2E3E8068">
      <w:start w:val="1"/>
      <w:numFmt w:val="bullet"/>
      <w:lvlText w:val=""/>
      <w:lvlJc w:val="left"/>
      <w:pPr>
        <w:ind w:left="6480" w:hanging="360"/>
      </w:pPr>
      <w:rPr>
        <w:rFonts w:ascii="Wingdings" w:hAnsi="Wingdings" w:hint="default"/>
      </w:rPr>
    </w:lvl>
  </w:abstractNum>
  <w:num w:numId="1" w16cid:durableId="338046750">
    <w:abstractNumId w:val="12"/>
  </w:num>
  <w:num w:numId="2" w16cid:durableId="1142888038">
    <w:abstractNumId w:val="10"/>
  </w:num>
  <w:num w:numId="3" w16cid:durableId="460195326">
    <w:abstractNumId w:val="14"/>
  </w:num>
  <w:num w:numId="4" w16cid:durableId="1177579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712410">
    <w:abstractNumId w:val="3"/>
  </w:num>
  <w:num w:numId="6" w16cid:durableId="382220149">
    <w:abstractNumId w:val="5"/>
  </w:num>
  <w:num w:numId="7" w16cid:durableId="894123241">
    <w:abstractNumId w:val="8"/>
  </w:num>
  <w:num w:numId="8" w16cid:durableId="2048019319">
    <w:abstractNumId w:val="7"/>
  </w:num>
  <w:num w:numId="9" w16cid:durableId="1928032449">
    <w:abstractNumId w:val="13"/>
  </w:num>
  <w:num w:numId="10" w16cid:durableId="1638992276">
    <w:abstractNumId w:val="4"/>
  </w:num>
  <w:num w:numId="11" w16cid:durableId="346952902">
    <w:abstractNumId w:val="2"/>
  </w:num>
  <w:num w:numId="12" w16cid:durableId="145169161">
    <w:abstractNumId w:val="1"/>
  </w:num>
  <w:num w:numId="13" w16cid:durableId="1242563092">
    <w:abstractNumId w:val="6"/>
  </w:num>
  <w:num w:numId="14" w16cid:durableId="788624543">
    <w:abstractNumId w:val="0"/>
  </w:num>
  <w:num w:numId="15" w16cid:durableId="1018312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9"/>
    <w:rsid w:val="0000204D"/>
    <w:rsid w:val="000021AB"/>
    <w:rsid w:val="00002F77"/>
    <w:rsid w:val="00004883"/>
    <w:rsid w:val="00004B98"/>
    <w:rsid w:val="00005F05"/>
    <w:rsid w:val="00007676"/>
    <w:rsid w:val="00010881"/>
    <w:rsid w:val="0001344F"/>
    <w:rsid w:val="00014EB6"/>
    <w:rsid w:val="00017267"/>
    <w:rsid w:val="00017D25"/>
    <w:rsid w:val="00020A28"/>
    <w:rsid w:val="000248AD"/>
    <w:rsid w:val="00027609"/>
    <w:rsid w:val="0003134E"/>
    <w:rsid w:val="00033C09"/>
    <w:rsid w:val="00037639"/>
    <w:rsid w:val="0004028E"/>
    <w:rsid w:val="000420DD"/>
    <w:rsid w:val="00042857"/>
    <w:rsid w:val="00050A41"/>
    <w:rsid w:val="00053F91"/>
    <w:rsid w:val="00061A1C"/>
    <w:rsid w:val="00062BDC"/>
    <w:rsid w:val="00067C0B"/>
    <w:rsid w:val="0007048D"/>
    <w:rsid w:val="00070D0C"/>
    <w:rsid w:val="000720F8"/>
    <w:rsid w:val="00074575"/>
    <w:rsid w:val="00074D90"/>
    <w:rsid w:val="000769FD"/>
    <w:rsid w:val="00081DFE"/>
    <w:rsid w:val="000825A8"/>
    <w:rsid w:val="00085B4D"/>
    <w:rsid w:val="0008675B"/>
    <w:rsid w:val="0008709A"/>
    <w:rsid w:val="00091B14"/>
    <w:rsid w:val="000951E0"/>
    <w:rsid w:val="0009538A"/>
    <w:rsid w:val="000A04BA"/>
    <w:rsid w:val="000A5CAF"/>
    <w:rsid w:val="000A702D"/>
    <w:rsid w:val="000A719B"/>
    <w:rsid w:val="000B2500"/>
    <w:rsid w:val="000B30BE"/>
    <w:rsid w:val="000C286E"/>
    <w:rsid w:val="000C5952"/>
    <w:rsid w:val="000C7ECE"/>
    <w:rsid w:val="000C7F94"/>
    <w:rsid w:val="000D12C6"/>
    <w:rsid w:val="000D2BC8"/>
    <w:rsid w:val="000E1D64"/>
    <w:rsid w:val="000E61B7"/>
    <w:rsid w:val="000E730A"/>
    <w:rsid w:val="000E736B"/>
    <w:rsid w:val="000F352E"/>
    <w:rsid w:val="000F4451"/>
    <w:rsid w:val="000F591C"/>
    <w:rsid w:val="00105632"/>
    <w:rsid w:val="00110945"/>
    <w:rsid w:val="0011354E"/>
    <w:rsid w:val="00113C8F"/>
    <w:rsid w:val="00115BA0"/>
    <w:rsid w:val="0011642E"/>
    <w:rsid w:val="00117130"/>
    <w:rsid w:val="00120423"/>
    <w:rsid w:val="00125309"/>
    <w:rsid w:val="00126737"/>
    <w:rsid w:val="001268F9"/>
    <w:rsid w:val="00130041"/>
    <w:rsid w:val="001309A4"/>
    <w:rsid w:val="00132A84"/>
    <w:rsid w:val="001332AA"/>
    <w:rsid w:val="001337D7"/>
    <w:rsid w:val="0013527F"/>
    <w:rsid w:val="00143331"/>
    <w:rsid w:val="00143C4F"/>
    <w:rsid w:val="00147B6C"/>
    <w:rsid w:val="001561EA"/>
    <w:rsid w:val="00165AF1"/>
    <w:rsid w:val="00165FB1"/>
    <w:rsid w:val="001717FC"/>
    <w:rsid w:val="00174BE3"/>
    <w:rsid w:val="001809B2"/>
    <w:rsid w:val="001819AE"/>
    <w:rsid w:val="00182B1E"/>
    <w:rsid w:val="0019533E"/>
    <w:rsid w:val="00195809"/>
    <w:rsid w:val="00196EE6"/>
    <w:rsid w:val="001A1557"/>
    <w:rsid w:val="001A23A2"/>
    <w:rsid w:val="001A36FC"/>
    <w:rsid w:val="001B2047"/>
    <w:rsid w:val="001B3BDB"/>
    <w:rsid w:val="001B5D98"/>
    <w:rsid w:val="001B7370"/>
    <w:rsid w:val="001C68E3"/>
    <w:rsid w:val="001D1F08"/>
    <w:rsid w:val="001D3A0E"/>
    <w:rsid w:val="001D7756"/>
    <w:rsid w:val="001D7AB1"/>
    <w:rsid w:val="001E2ED4"/>
    <w:rsid w:val="001E5E67"/>
    <w:rsid w:val="001E6C05"/>
    <w:rsid w:val="001F1267"/>
    <w:rsid w:val="001F45D8"/>
    <w:rsid w:val="00200F91"/>
    <w:rsid w:val="002025E3"/>
    <w:rsid w:val="00202AFD"/>
    <w:rsid w:val="002031B4"/>
    <w:rsid w:val="002071EB"/>
    <w:rsid w:val="002131EA"/>
    <w:rsid w:val="00213DFE"/>
    <w:rsid w:val="00226620"/>
    <w:rsid w:val="00227102"/>
    <w:rsid w:val="00227881"/>
    <w:rsid w:val="00230B12"/>
    <w:rsid w:val="00234621"/>
    <w:rsid w:val="0024093C"/>
    <w:rsid w:val="00241AEC"/>
    <w:rsid w:val="0024602F"/>
    <w:rsid w:val="002530A0"/>
    <w:rsid w:val="002530CB"/>
    <w:rsid w:val="002555DD"/>
    <w:rsid w:val="002607AD"/>
    <w:rsid w:val="0026085C"/>
    <w:rsid w:val="00261A4D"/>
    <w:rsid w:val="00264B5B"/>
    <w:rsid w:val="00265088"/>
    <w:rsid w:val="002775A2"/>
    <w:rsid w:val="00281B92"/>
    <w:rsid w:val="00282849"/>
    <w:rsid w:val="002834A2"/>
    <w:rsid w:val="0028392E"/>
    <w:rsid w:val="00295E8F"/>
    <w:rsid w:val="0029710F"/>
    <w:rsid w:val="002A00E9"/>
    <w:rsid w:val="002A2A68"/>
    <w:rsid w:val="002A6324"/>
    <w:rsid w:val="002A7748"/>
    <w:rsid w:val="002B09D9"/>
    <w:rsid w:val="002C526C"/>
    <w:rsid w:val="002C77D0"/>
    <w:rsid w:val="002D17F7"/>
    <w:rsid w:val="002D3B81"/>
    <w:rsid w:val="002D5BB1"/>
    <w:rsid w:val="002D792A"/>
    <w:rsid w:val="002E344F"/>
    <w:rsid w:val="002F089E"/>
    <w:rsid w:val="002F268D"/>
    <w:rsid w:val="002F3633"/>
    <w:rsid w:val="002F5D40"/>
    <w:rsid w:val="002F7BF5"/>
    <w:rsid w:val="00300F72"/>
    <w:rsid w:val="003035C3"/>
    <w:rsid w:val="00305978"/>
    <w:rsid w:val="00307D4F"/>
    <w:rsid w:val="00315CB0"/>
    <w:rsid w:val="003163F5"/>
    <w:rsid w:val="00320297"/>
    <w:rsid w:val="00323BE5"/>
    <w:rsid w:val="00323CE6"/>
    <w:rsid w:val="00324D22"/>
    <w:rsid w:val="0033227E"/>
    <w:rsid w:val="00334FEB"/>
    <w:rsid w:val="00341560"/>
    <w:rsid w:val="00343250"/>
    <w:rsid w:val="003452B9"/>
    <w:rsid w:val="003525BC"/>
    <w:rsid w:val="003574D6"/>
    <w:rsid w:val="003629DD"/>
    <w:rsid w:val="00364CFF"/>
    <w:rsid w:val="00365A00"/>
    <w:rsid w:val="003660C1"/>
    <w:rsid w:val="00372BD9"/>
    <w:rsid w:val="00373809"/>
    <w:rsid w:val="0038338B"/>
    <w:rsid w:val="00383AD0"/>
    <w:rsid w:val="003848C2"/>
    <w:rsid w:val="00385CFF"/>
    <w:rsid w:val="00386B0E"/>
    <w:rsid w:val="0039465E"/>
    <w:rsid w:val="003A650C"/>
    <w:rsid w:val="003B420C"/>
    <w:rsid w:val="003C1890"/>
    <w:rsid w:val="003C2F50"/>
    <w:rsid w:val="003C5279"/>
    <w:rsid w:val="003D26CE"/>
    <w:rsid w:val="003D5670"/>
    <w:rsid w:val="003D5B97"/>
    <w:rsid w:val="003D6C4F"/>
    <w:rsid w:val="003D782B"/>
    <w:rsid w:val="003F1417"/>
    <w:rsid w:val="003F42F8"/>
    <w:rsid w:val="003F490A"/>
    <w:rsid w:val="003F54EA"/>
    <w:rsid w:val="00401F26"/>
    <w:rsid w:val="004073FD"/>
    <w:rsid w:val="00407B83"/>
    <w:rsid w:val="00420E40"/>
    <w:rsid w:val="00423666"/>
    <w:rsid w:val="00423E77"/>
    <w:rsid w:val="00424505"/>
    <w:rsid w:val="004279A1"/>
    <w:rsid w:val="004317BD"/>
    <w:rsid w:val="00434520"/>
    <w:rsid w:val="004400CE"/>
    <w:rsid w:val="00443BB0"/>
    <w:rsid w:val="00445119"/>
    <w:rsid w:val="00446E30"/>
    <w:rsid w:val="00450E4D"/>
    <w:rsid w:val="00457DBA"/>
    <w:rsid w:val="0046377B"/>
    <w:rsid w:val="0047170E"/>
    <w:rsid w:val="004755EB"/>
    <w:rsid w:val="0048182D"/>
    <w:rsid w:val="00482ADD"/>
    <w:rsid w:val="0048301A"/>
    <w:rsid w:val="0048375F"/>
    <w:rsid w:val="00485060"/>
    <w:rsid w:val="00487853"/>
    <w:rsid w:val="004878E6"/>
    <w:rsid w:val="00492AEB"/>
    <w:rsid w:val="00492B41"/>
    <w:rsid w:val="00493ECC"/>
    <w:rsid w:val="004944D3"/>
    <w:rsid w:val="00494CD5"/>
    <w:rsid w:val="00495F76"/>
    <w:rsid w:val="004A284C"/>
    <w:rsid w:val="004A45A6"/>
    <w:rsid w:val="004A60A3"/>
    <w:rsid w:val="004B2646"/>
    <w:rsid w:val="004B4E07"/>
    <w:rsid w:val="004B6087"/>
    <w:rsid w:val="004C05A0"/>
    <w:rsid w:val="004C5AD9"/>
    <w:rsid w:val="004C6A31"/>
    <w:rsid w:val="004D19B6"/>
    <w:rsid w:val="004E4B75"/>
    <w:rsid w:val="004E7B40"/>
    <w:rsid w:val="004F29C6"/>
    <w:rsid w:val="004F6E7C"/>
    <w:rsid w:val="004F7EF1"/>
    <w:rsid w:val="005021B1"/>
    <w:rsid w:val="005045AA"/>
    <w:rsid w:val="00505A8D"/>
    <w:rsid w:val="00514935"/>
    <w:rsid w:val="00516EC0"/>
    <w:rsid w:val="005177AE"/>
    <w:rsid w:val="00517ABC"/>
    <w:rsid w:val="005203DF"/>
    <w:rsid w:val="0052112D"/>
    <w:rsid w:val="005221CF"/>
    <w:rsid w:val="005240AA"/>
    <w:rsid w:val="00526612"/>
    <w:rsid w:val="005328BD"/>
    <w:rsid w:val="00535C13"/>
    <w:rsid w:val="005424DD"/>
    <w:rsid w:val="0054326D"/>
    <w:rsid w:val="00545C8E"/>
    <w:rsid w:val="00546BF3"/>
    <w:rsid w:val="005501B1"/>
    <w:rsid w:val="0056488D"/>
    <w:rsid w:val="00577BFD"/>
    <w:rsid w:val="005815AB"/>
    <w:rsid w:val="00582893"/>
    <w:rsid w:val="00583645"/>
    <w:rsid w:val="00583A91"/>
    <w:rsid w:val="00584733"/>
    <w:rsid w:val="00584E72"/>
    <w:rsid w:val="00585F9B"/>
    <w:rsid w:val="00586325"/>
    <w:rsid w:val="00592D77"/>
    <w:rsid w:val="005935D1"/>
    <w:rsid w:val="00594786"/>
    <w:rsid w:val="005951BA"/>
    <w:rsid w:val="005A20C1"/>
    <w:rsid w:val="005A36DE"/>
    <w:rsid w:val="005A3D13"/>
    <w:rsid w:val="005A3F6C"/>
    <w:rsid w:val="005A609C"/>
    <w:rsid w:val="005B1656"/>
    <w:rsid w:val="005B37C9"/>
    <w:rsid w:val="005B3CB0"/>
    <w:rsid w:val="005B3D2A"/>
    <w:rsid w:val="005B6B75"/>
    <w:rsid w:val="005B6FA3"/>
    <w:rsid w:val="005C2BB5"/>
    <w:rsid w:val="005C5BF3"/>
    <w:rsid w:val="005D1B7D"/>
    <w:rsid w:val="005D2220"/>
    <w:rsid w:val="005D34F8"/>
    <w:rsid w:val="005D3FB2"/>
    <w:rsid w:val="005D6A58"/>
    <w:rsid w:val="005D7B54"/>
    <w:rsid w:val="005E35B1"/>
    <w:rsid w:val="005F075A"/>
    <w:rsid w:val="005F28B1"/>
    <w:rsid w:val="005F2D12"/>
    <w:rsid w:val="00601273"/>
    <w:rsid w:val="00602BFB"/>
    <w:rsid w:val="006036D8"/>
    <w:rsid w:val="006064BB"/>
    <w:rsid w:val="00607149"/>
    <w:rsid w:val="006119EC"/>
    <w:rsid w:val="00614794"/>
    <w:rsid w:val="00616453"/>
    <w:rsid w:val="00622089"/>
    <w:rsid w:val="0062552D"/>
    <w:rsid w:val="00625BAA"/>
    <w:rsid w:val="00634B57"/>
    <w:rsid w:val="00635863"/>
    <w:rsid w:val="006366ED"/>
    <w:rsid w:val="00641BD3"/>
    <w:rsid w:val="00643DCF"/>
    <w:rsid w:val="006446CE"/>
    <w:rsid w:val="00650A49"/>
    <w:rsid w:val="006511B2"/>
    <w:rsid w:val="00656214"/>
    <w:rsid w:val="0065781B"/>
    <w:rsid w:val="0066137F"/>
    <w:rsid w:val="0066195D"/>
    <w:rsid w:val="0066375F"/>
    <w:rsid w:val="0066416F"/>
    <w:rsid w:val="00672CD7"/>
    <w:rsid w:val="006763EA"/>
    <w:rsid w:val="00681B05"/>
    <w:rsid w:val="00687026"/>
    <w:rsid w:val="0069014D"/>
    <w:rsid w:val="00691A1C"/>
    <w:rsid w:val="00691D9B"/>
    <w:rsid w:val="006932CE"/>
    <w:rsid w:val="00693C68"/>
    <w:rsid w:val="0069434C"/>
    <w:rsid w:val="00695778"/>
    <w:rsid w:val="006A11EB"/>
    <w:rsid w:val="006A4F75"/>
    <w:rsid w:val="006A5FD8"/>
    <w:rsid w:val="006C27EC"/>
    <w:rsid w:val="006C72A3"/>
    <w:rsid w:val="006D0F45"/>
    <w:rsid w:val="006D2CDB"/>
    <w:rsid w:val="006D4EC7"/>
    <w:rsid w:val="006D4F94"/>
    <w:rsid w:val="006D54DC"/>
    <w:rsid w:val="006E2014"/>
    <w:rsid w:val="006E254B"/>
    <w:rsid w:val="006E7CCE"/>
    <w:rsid w:val="006F0F82"/>
    <w:rsid w:val="00700ED4"/>
    <w:rsid w:val="00704E29"/>
    <w:rsid w:val="0070550C"/>
    <w:rsid w:val="00710712"/>
    <w:rsid w:val="0071218E"/>
    <w:rsid w:val="00715157"/>
    <w:rsid w:val="0071574F"/>
    <w:rsid w:val="00721210"/>
    <w:rsid w:val="007216AB"/>
    <w:rsid w:val="007234BF"/>
    <w:rsid w:val="007252A6"/>
    <w:rsid w:val="00725AC2"/>
    <w:rsid w:val="007405BC"/>
    <w:rsid w:val="00744FAB"/>
    <w:rsid w:val="00747976"/>
    <w:rsid w:val="00757AA3"/>
    <w:rsid w:val="00760694"/>
    <w:rsid w:val="00761071"/>
    <w:rsid w:val="007724CF"/>
    <w:rsid w:val="00772C49"/>
    <w:rsid w:val="007757A6"/>
    <w:rsid w:val="00776539"/>
    <w:rsid w:val="00776A77"/>
    <w:rsid w:val="007811DB"/>
    <w:rsid w:val="00784515"/>
    <w:rsid w:val="00785B55"/>
    <w:rsid w:val="00792B84"/>
    <w:rsid w:val="00796EE3"/>
    <w:rsid w:val="007A0C9C"/>
    <w:rsid w:val="007A1C63"/>
    <w:rsid w:val="007A5E94"/>
    <w:rsid w:val="007B0509"/>
    <w:rsid w:val="007B1BF6"/>
    <w:rsid w:val="007B715F"/>
    <w:rsid w:val="007C1FAA"/>
    <w:rsid w:val="007C4856"/>
    <w:rsid w:val="007D0D75"/>
    <w:rsid w:val="007E0F11"/>
    <w:rsid w:val="007E1F80"/>
    <w:rsid w:val="007E35B1"/>
    <w:rsid w:val="007E6710"/>
    <w:rsid w:val="007F1387"/>
    <w:rsid w:val="007F3450"/>
    <w:rsid w:val="007F4DEE"/>
    <w:rsid w:val="008007D5"/>
    <w:rsid w:val="00800AA0"/>
    <w:rsid w:val="00800C0E"/>
    <w:rsid w:val="00805653"/>
    <w:rsid w:val="00806A58"/>
    <w:rsid w:val="0080704E"/>
    <w:rsid w:val="0081517F"/>
    <w:rsid w:val="00816176"/>
    <w:rsid w:val="008213EC"/>
    <w:rsid w:val="008228FE"/>
    <w:rsid w:val="00824654"/>
    <w:rsid w:val="00830FAD"/>
    <w:rsid w:val="00834605"/>
    <w:rsid w:val="00841AEA"/>
    <w:rsid w:val="00844A27"/>
    <w:rsid w:val="00844DB8"/>
    <w:rsid w:val="00846529"/>
    <w:rsid w:val="0084753F"/>
    <w:rsid w:val="00847BBD"/>
    <w:rsid w:val="00853462"/>
    <w:rsid w:val="00864404"/>
    <w:rsid w:val="00864968"/>
    <w:rsid w:val="0087659D"/>
    <w:rsid w:val="00881334"/>
    <w:rsid w:val="00885489"/>
    <w:rsid w:val="00887329"/>
    <w:rsid w:val="00890117"/>
    <w:rsid w:val="00893C6F"/>
    <w:rsid w:val="00895222"/>
    <w:rsid w:val="008974AE"/>
    <w:rsid w:val="008A1985"/>
    <w:rsid w:val="008A5158"/>
    <w:rsid w:val="008A7C76"/>
    <w:rsid w:val="008B3703"/>
    <w:rsid w:val="008B3A0B"/>
    <w:rsid w:val="008C58F6"/>
    <w:rsid w:val="008C5B4C"/>
    <w:rsid w:val="008C7DB6"/>
    <w:rsid w:val="008D0825"/>
    <w:rsid w:val="008D5945"/>
    <w:rsid w:val="008E4738"/>
    <w:rsid w:val="008E5DDE"/>
    <w:rsid w:val="008F230F"/>
    <w:rsid w:val="008F42F3"/>
    <w:rsid w:val="008F5CA6"/>
    <w:rsid w:val="008F72BC"/>
    <w:rsid w:val="00900057"/>
    <w:rsid w:val="0090020A"/>
    <w:rsid w:val="009075C4"/>
    <w:rsid w:val="00907C49"/>
    <w:rsid w:val="00911434"/>
    <w:rsid w:val="00913012"/>
    <w:rsid w:val="009131BF"/>
    <w:rsid w:val="00913397"/>
    <w:rsid w:val="009140B8"/>
    <w:rsid w:val="00915649"/>
    <w:rsid w:val="00916065"/>
    <w:rsid w:val="00917279"/>
    <w:rsid w:val="0091754D"/>
    <w:rsid w:val="009279FB"/>
    <w:rsid w:val="00931F58"/>
    <w:rsid w:val="009323BC"/>
    <w:rsid w:val="009332A6"/>
    <w:rsid w:val="009358F0"/>
    <w:rsid w:val="00935F58"/>
    <w:rsid w:val="00936C25"/>
    <w:rsid w:val="00942136"/>
    <w:rsid w:val="00943282"/>
    <w:rsid w:val="00945DDA"/>
    <w:rsid w:val="009658DB"/>
    <w:rsid w:val="0096634A"/>
    <w:rsid w:val="009665D2"/>
    <w:rsid w:val="00966B42"/>
    <w:rsid w:val="009724A2"/>
    <w:rsid w:val="00974892"/>
    <w:rsid w:val="009768DB"/>
    <w:rsid w:val="0097797D"/>
    <w:rsid w:val="0098403B"/>
    <w:rsid w:val="009843D2"/>
    <w:rsid w:val="00986D25"/>
    <w:rsid w:val="009905AB"/>
    <w:rsid w:val="009907D3"/>
    <w:rsid w:val="00995211"/>
    <w:rsid w:val="0099561A"/>
    <w:rsid w:val="009B4E79"/>
    <w:rsid w:val="009C0279"/>
    <w:rsid w:val="009C28E9"/>
    <w:rsid w:val="009C674D"/>
    <w:rsid w:val="009C7B33"/>
    <w:rsid w:val="009D1ED3"/>
    <w:rsid w:val="009D7166"/>
    <w:rsid w:val="009E0DB1"/>
    <w:rsid w:val="009E1E8C"/>
    <w:rsid w:val="009E5B6F"/>
    <w:rsid w:val="009F207B"/>
    <w:rsid w:val="009F55B7"/>
    <w:rsid w:val="00A014B6"/>
    <w:rsid w:val="00A017E5"/>
    <w:rsid w:val="00A07B34"/>
    <w:rsid w:val="00A10AF2"/>
    <w:rsid w:val="00A11730"/>
    <w:rsid w:val="00A23A61"/>
    <w:rsid w:val="00A25E35"/>
    <w:rsid w:val="00A264CB"/>
    <w:rsid w:val="00A330F0"/>
    <w:rsid w:val="00A35554"/>
    <w:rsid w:val="00A46B70"/>
    <w:rsid w:val="00A47DDE"/>
    <w:rsid w:val="00A62915"/>
    <w:rsid w:val="00A63B4A"/>
    <w:rsid w:val="00A654E2"/>
    <w:rsid w:val="00A72505"/>
    <w:rsid w:val="00A737A5"/>
    <w:rsid w:val="00A75C0F"/>
    <w:rsid w:val="00A77A54"/>
    <w:rsid w:val="00A77BBC"/>
    <w:rsid w:val="00A8685F"/>
    <w:rsid w:val="00A96DC9"/>
    <w:rsid w:val="00AA0F41"/>
    <w:rsid w:val="00AB13FF"/>
    <w:rsid w:val="00AB1DBD"/>
    <w:rsid w:val="00AB36A0"/>
    <w:rsid w:val="00AC2B87"/>
    <w:rsid w:val="00AD55AF"/>
    <w:rsid w:val="00AE3B9F"/>
    <w:rsid w:val="00AF735B"/>
    <w:rsid w:val="00B0230A"/>
    <w:rsid w:val="00B024B0"/>
    <w:rsid w:val="00B064A5"/>
    <w:rsid w:val="00B11F89"/>
    <w:rsid w:val="00B143BC"/>
    <w:rsid w:val="00B16436"/>
    <w:rsid w:val="00B20CB0"/>
    <w:rsid w:val="00B233C7"/>
    <w:rsid w:val="00B246E9"/>
    <w:rsid w:val="00B26827"/>
    <w:rsid w:val="00B2739B"/>
    <w:rsid w:val="00B32081"/>
    <w:rsid w:val="00B34295"/>
    <w:rsid w:val="00B37DEF"/>
    <w:rsid w:val="00B4623C"/>
    <w:rsid w:val="00B55486"/>
    <w:rsid w:val="00B57EFF"/>
    <w:rsid w:val="00B6401F"/>
    <w:rsid w:val="00B66F69"/>
    <w:rsid w:val="00B703A6"/>
    <w:rsid w:val="00B73529"/>
    <w:rsid w:val="00B74205"/>
    <w:rsid w:val="00B76B87"/>
    <w:rsid w:val="00B77ABA"/>
    <w:rsid w:val="00B90123"/>
    <w:rsid w:val="00B90353"/>
    <w:rsid w:val="00B909ED"/>
    <w:rsid w:val="00B970AF"/>
    <w:rsid w:val="00B97D74"/>
    <w:rsid w:val="00BA10FA"/>
    <w:rsid w:val="00BA5657"/>
    <w:rsid w:val="00BB0089"/>
    <w:rsid w:val="00BB10DC"/>
    <w:rsid w:val="00BB28BE"/>
    <w:rsid w:val="00BB5F06"/>
    <w:rsid w:val="00BC73CD"/>
    <w:rsid w:val="00BD1071"/>
    <w:rsid w:val="00BD2AA4"/>
    <w:rsid w:val="00BD3C96"/>
    <w:rsid w:val="00BD58E4"/>
    <w:rsid w:val="00BD5EE3"/>
    <w:rsid w:val="00BE028F"/>
    <w:rsid w:val="00BE40D7"/>
    <w:rsid w:val="00BE6A25"/>
    <w:rsid w:val="00BF186F"/>
    <w:rsid w:val="00C03D57"/>
    <w:rsid w:val="00C04504"/>
    <w:rsid w:val="00C04C31"/>
    <w:rsid w:val="00C10E54"/>
    <w:rsid w:val="00C15C51"/>
    <w:rsid w:val="00C222CF"/>
    <w:rsid w:val="00C271DA"/>
    <w:rsid w:val="00C336EF"/>
    <w:rsid w:val="00C37BAD"/>
    <w:rsid w:val="00C40988"/>
    <w:rsid w:val="00C43827"/>
    <w:rsid w:val="00C43EA1"/>
    <w:rsid w:val="00C46DFD"/>
    <w:rsid w:val="00C51D68"/>
    <w:rsid w:val="00C542B5"/>
    <w:rsid w:val="00C55999"/>
    <w:rsid w:val="00C5715E"/>
    <w:rsid w:val="00C65C69"/>
    <w:rsid w:val="00C6695C"/>
    <w:rsid w:val="00C66B01"/>
    <w:rsid w:val="00C67EB5"/>
    <w:rsid w:val="00C70897"/>
    <w:rsid w:val="00C70A6C"/>
    <w:rsid w:val="00C72911"/>
    <w:rsid w:val="00C752A1"/>
    <w:rsid w:val="00C81394"/>
    <w:rsid w:val="00C85DC4"/>
    <w:rsid w:val="00C868EF"/>
    <w:rsid w:val="00C90C53"/>
    <w:rsid w:val="00CA140B"/>
    <w:rsid w:val="00CB047A"/>
    <w:rsid w:val="00CB7DC9"/>
    <w:rsid w:val="00CD50DE"/>
    <w:rsid w:val="00CF3B52"/>
    <w:rsid w:val="00D04438"/>
    <w:rsid w:val="00D04A49"/>
    <w:rsid w:val="00D050E4"/>
    <w:rsid w:val="00D16F07"/>
    <w:rsid w:val="00D21FAD"/>
    <w:rsid w:val="00D22708"/>
    <w:rsid w:val="00D2362F"/>
    <w:rsid w:val="00D24627"/>
    <w:rsid w:val="00D26B69"/>
    <w:rsid w:val="00D27533"/>
    <w:rsid w:val="00D27FBA"/>
    <w:rsid w:val="00D30EEC"/>
    <w:rsid w:val="00D406B4"/>
    <w:rsid w:val="00D43C6C"/>
    <w:rsid w:val="00D43F05"/>
    <w:rsid w:val="00D51FE0"/>
    <w:rsid w:val="00D52518"/>
    <w:rsid w:val="00D6090B"/>
    <w:rsid w:val="00D6108C"/>
    <w:rsid w:val="00D62497"/>
    <w:rsid w:val="00D62CD8"/>
    <w:rsid w:val="00D63974"/>
    <w:rsid w:val="00D72829"/>
    <w:rsid w:val="00D74BF4"/>
    <w:rsid w:val="00D84DB0"/>
    <w:rsid w:val="00DA0B10"/>
    <w:rsid w:val="00DA2055"/>
    <w:rsid w:val="00DA2F3D"/>
    <w:rsid w:val="00DA73D2"/>
    <w:rsid w:val="00DB019B"/>
    <w:rsid w:val="00DC0E0D"/>
    <w:rsid w:val="00DC1ACB"/>
    <w:rsid w:val="00DC7A01"/>
    <w:rsid w:val="00DD0858"/>
    <w:rsid w:val="00DD207D"/>
    <w:rsid w:val="00DD6F0C"/>
    <w:rsid w:val="00DD71FE"/>
    <w:rsid w:val="00DD7E84"/>
    <w:rsid w:val="00DE04D7"/>
    <w:rsid w:val="00DE0897"/>
    <w:rsid w:val="00DF07E7"/>
    <w:rsid w:val="00DF38AF"/>
    <w:rsid w:val="00DF7DC4"/>
    <w:rsid w:val="00E01C08"/>
    <w:rsid w:val="00E04E0A"/>
    <w:rsid w:val="00E06481"/>
    <w:rsid w:val="00E069D4"/>
    <w:rsid w:val="00E14665"/>
    <w:rsid w:val="00E15789"/>
    <w:rsid w:val="00E20573"/>
    <w:rsid w:val="00E22A8D"/>
    <w:rsid w:val="00E255B7"/>
    <w:rsid w:val="00E2633A"/>
    <w:rsid w:val="00E307A6"/>
    <w:rsid w:val="00E32DE0"/>
    <w:rsid w:val="00E3356F"/>
    <w:rsid w:val="00E34A7A"/>
    <w:rsid w:val="00E350ED"/>
    <w:rsid w:val="00E36438"/>
    <w:rsid w:val="00E365E1"/>
    <w:rsid w:val="00E4558A"/>
    <w:rsid w:val="00E46DF4"/>
    <w:rsid w:val="00E513FC"/>
    <w:rsid w:val="00E5447F"/>
    <w:rsid w:val="00E56275"/>
    <w:rsid w:val="00E568E3"/>
    <w:rsid w:val="00E6775C"/>
    <w:rsid w:val="00E70F44"/>
    <w:rsid w:val="00E741DB"/>
    <w:rsid w:val="00E82AF2"/>
    <w:rsid w:val="00E83A10"/>
    <w:rsid w:val="00E92B1D"/>
    <w:rsid w:val="00E9461A"/>
    <w:rsid w:val="00E952F1"/>
    <w:rsid w:val="00E972B9"/>
    <w:rsid w:val="00EA31B6"/>
    <w:rsid w:val="00EA543E"/>
    <w:rsid w:val="00EA5737"/>
    <w:rsid w:val="00EA6018"/>
    <w:rsid w:val="00EA78A3"/>
    <w:rsid w:val="00EA7FFB"/>
    <w:rsid w:val="00EB151A"/>
    <w:rsid w:val="00EB5DA4"/>
    <w:rsid w:val="00EB78BD"/>
    <w:rsid w:val="00EC12D8"/>
    <w:rsid w:val="00EC1BC9"/>
    <w:rsid w:val="00EC2212"/>
    <w:rsid w:val="00EC60AA"/>
    <w:rsid w:val="00ED037D"/>
    <w:rsid w:val="00ED5824"/>
    <w:rsid w:val="00ED7776"/>
    <w:rsid w:val="00EE0B22"/>
    <w:rsid w:val="00EF0777"/>
    <w:rsid w:val="00EF17B1"/>
    <w:rsid w:val="00EF4966"/>
    <w:rsid w:val="00EF706A"/>
    <w:rsid w:val="00F00A9B"/>
    <w:rsid w:val="00F10787"/>
    <w:rsid w:val="00F129EE"/>
    <w:rsid w:val="00F12A40"/>
    <w:rsid w:val="00F16466"/>
    <w:rsid w:val="00F232C2"/>
    <w:rsid w:val="00F41D1E"/>
    <w:rsid w:val="00F42CF4"/>
    <w:rsid w:val="00F43826"/>
    <w:rsid w:val="00F44A5A"/>
    <w:rsid w:val="00F45E62"/>
    <w:rsid w:val="00F47400"/>
    <w:rsid w:val="00F523A5"/>
    <w:rsid w:val="00F53C7D"/>
    <w:rsid w:val="00F5408A"/>
    <w:rsid w:val="00F566C9"/>
    <w:rsid w:val="00F62421"/>
    <w:rsid w:val="00F65744"/>
    <w:rsid w:val="00F6602E"/>
    <w:rsid w:val="00F6679A"/>
    <w:rsid w:val="00F800F2"/>
    <w:rsid w:val="00F8522F"/>
    <w:rsid w:val="00F94BA3"/>
    <w:rsid w:val="00F94D35"/>
    <w:rsid w:val="00F9552F"/>
    <w:rsid w:val="00F961B6"/>
    <w:rsid w:val="00F96EED"/>
    <w:rsid w:val="00F973DA"/>
    <w:rsid w:val="00FA096B"/>
    <w:rsid w:val="00FB3E1E"/>
    <w:rsid w:val="00FC0AAC"/>
    <w:rsid w:val="00FC13CF"/>
    <w:rsid w:val="00FC3F2F"/>
    <w:rsid w:val="00FC4099"/>
    <w:rsid w:val="00FC7957"/>
    <w:rsid w:val="00FE1040"/>
    <w:rsid w:val="00FE10FC"/>
    <w:rsid w:val="00FE1C01"/>
    <w:rsid w:val="00FE390F"/>
    <w:rsid w:val="00FE5AB9"/>
    <w:rsid w:val="00FE5B51"/>
    <w:rsid w:val="00FF2595"/>
    <w:rsid w:val="00FF5A2E"/>
    <w:rsid w:val="10493BDE"/>
    <w:rsid w:val="2066550A"/>
    <w:rsid w:val="275E6864"/>
    <w:rsid w:val="3443E819"/>
    <w:rsid w:val="413603F1"/>
    <w:rsid w:val="64EF647C"/>
    <w:rsid w:val="73FFE4D3"/>
    <w:rsid w:val="7AE5D2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9001F"/>
  <w15:chartTrackingRefBased/>
  <w15:docId w15:val="{70C70DC0-4FB3-4D76-9612-B36E07C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79"/>
    <w:rPr>
      <w:rFonts w:eastAsiaTheme="majorEastAsia" w:cstheme="majorBidi"/>
      <w:color w:val="272727" w:themeColor="text1" w:themeTint="D8"/>
    </w:rPr>
  </w:style>
  <w:style w:type="paragraph" w:styleId="Title">
    <w:name w:val="Title"/>
    <w:basedOn w:val="Normal"/>
    <w:next w:val="Normal"/>
    <w:link w:val="TitleChar"/>
    <w:uiPriority w:val="10"/>
    <w:qFormat/>
    <w:rsid w:val="003C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79"/>
    <w:pPr>
      <w:spacing w:before="160"/>
      <w:jc w:val="center"/>
    </w:pPr>
    <w:rPr>
      <w:i/>
      <w:iCs/>
      <w:color w:val="404040" w:themeColor="text1" w:themeTint="BF"/>
    </w:rPr>
  </w:style>
  <w:style w:type="character" w:customStyle="1" w:styleId="QuoteChar">
    <w:name w:val="Quote Char"/>
    <w:basedOn w:val="DefaultParagraphFont"/>
    <w:link w:val="Quote"/>
    <w:uiPriority w:val="29"/>
    <w:rsid w:val="003C5279"/>
    <w:rPr>
      <w:i/>
      <w:iCs/>
      <w:color w:val="404040" w:themeColor="text1" w:themeTint="BF"/>
    </w:rPr>
  </w:style>
  <w:style w:type="paragraph" w:styleId="ListParagraph">
    <w:name w:val="List Paragraph"/>
    <w:basedOn w:val="Normal"/>
    <w:link w:val="ListParagraphChar"/>
    <w:uiPriority w:val="34"/>
    <w:qFormat/>
    <w:rsid w:val="003C5279"/>
    <w:pPr>
      <w:ind w:left="720"/>
      <w:contextualSpacing/>
    </w:pPr>
  </w:style>
  <w:style w:type="character" w:styleId="IntenseEmphasis">
    <w:name w:val="Intense Emphasis"/>
    <w:basedOn w:val="DefaultParagraphFont"/>
    <w:uiPriority w:val="21"/>
    <w:qFormat/>
    <w:rsid w:val="003C5279"/>
    <w:rPr>
      <w:i/>
      <w:iCs/>
      <w:color w:val="0F4761" w:themeColor="accent1" w:themeShade="BF"/>
    </w:rPr>
  </w:style>
  <w:style w:type="paragraph" w:styleId="IntenseQuote">
    <w:name w:val="Intense Quote"/>
    <w:basedOn w:val="Normal"/>
    <w:next w:val="Normal"/>
    <w:link w:val="IntenseQuoteChar"/>
    <w:uiPriority w:val="30"/>
    <w:qFormat/>
    <w:rsid w:val="003C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79"/>
    <w:rPr>
      <w:i/>
      <w:iCs/>
      <w:color w:val="0F4761" w:themeColor="accent1" w:themeShade="BF"/>
    </w:rPr>
  </w:style>
  <w:style w:type="character" w:styleId="IntenseReference">
    <w:name w:val="Intense Reference"/>
    <w:basedOn w:val="DefaultParagraphFont"/>
    <w:uiPriority w:val="32"/>
    <w:qFormat/>
    <w:rsid w:val="003C5279"/>
    <w:rPr>
      <w:b/>
      <w:bCs/>
      <w:smallCaps/>
      <w:color w:val="0F4761" w:themeColor="accent1" w:themeShade="BF"/>
      <w:spacing w:val="5"/>
    </w:rPr>
  </w:style>
  <w:style w:type="character" w:styleId="Hyperlink">
    <w:name w:val="Hyperlink"/>
    <w:basedOn w:val="DefaultParagraphFont"/>
    <w:uiPriority w:val="99"/>
    <w:unhideWhenUsed/>
    <w:rsid w:val="00F129EE"/>
    <w:rPr>
      <w:color w:val="467886" w:themeColor="hyperlink"/>
      <w:u w:val="single"/>
    </w:rPr>
  </w:style>
  <w:style w:type="character" w:styleId="UnresolvedMention">
    <w:name w:val="Unresolved Mention"/>
    <w:basedOn w:val="DefaultParagraphFont"/>
    <w:uiPriority w:val="99"/>
    <w:semiHidden/>
    <w:unhideWhenUsed/>
    <w:rsid w:val="00F129EE"/>
    <w:rPr>
      <w:color w:val="605E5C"/>
      <w:shd w:val="clear" w:color="auto" w:fill="E1DFDD"/>
    </w:rPr>
  </w:style>
  <w:style w:type="paragraph" w:styleId="Header">
    <w:name w:val="header"/>
    <w:basedOn w:val="Normal"/>
    <w:link w:val="HeaderChar"/>
    <w:uiPriority w:val="99"/>
    <w:unhideWhenUsed/>
    <w:rsid w:val="00227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881"/>
  </w:style>
  <w:style w:type="paragraph" w:styleId="Footer">
    <w:name w:val="footer"/>
    <w:basedOn w:val="Normal"/>
    <w:link w:val="FooterChar"/>
    <w:uiPriority w:val="99"/>
    <w:unhideWhenUsed/>
    <w:rsid w:val="00227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881"/>
  </w:style>
  <w:style w:type="character" w:customStyle="1" w:styleId="ListParagraphChar">
    <w:name w:val="List Paragraph Char"/>
    <w:basedOn w:val="DefaultParagraphFont"/>
    <w:link w:val="ListParagraph"/>
    <w:uiPriority w:val="34"/>
    <w:locked/>
    <w:rsid w:val="0066195D"/>
  </w:style>
  <w:style w:type="character" w:styleId="FollowedHyperlink">
    <w:name w:val="FollowedHyperlink"/>
    <w:basedOn w:val="DefaultParagraphFont"/>
    <w:uiPriority w:val="99"/>
    <w:semiHidden/>
    <w:unhideWhenUsed/>
    <w:rsid w:val="0038338B"/>
    <w:rPr>
      <w:color w:val="96607D" w:themeColor="followedHyperlink"/>
      <w:u w:val="single"/>
    </w:rPr>
  </w:style>
  <w:style w:type="paragraph" w:styleId="Revision">
    <w:name w:val="Revision"/>
    <w:hidden/>
    <w:uiPriority w:val="99"/>
    <w:semiHidden/>
    <w:rsid w:val="00F94BA3"/>
    <w:pPr>
      <w:spacing w:after="0" w:line="240" w:lineRule="auto"/>
    </w:pPr>
  </w:style>
  <w:style w:type="character" w:styleId="CommentReference">
    <w:name w:val="annotation reference"/>
    <w:basedOn w:val="DefaultParagraphFont"/>
    <w:uiPriority w:val="99"/>
    <w:semiHidden/>
    <w:unhideWhenUsed/>
    <w:rsid w:val="00710712"/>
    <w:rPr>
      <w:sz w:val="16"/>
      <w:szCs w:val="16"/>
    </w:rPr>
  </w:style>
  <w:style w:type="paragraph" w:styleId="CommentText">
    <w:name w:val="annotation text"/>
    <w:basedOn w:val="Normal"/>
    <w:link w:val="CommentTextChar"/>
    <w:uiPriority w:val="99"/>
    <w:unhideWhenUsed/>
    <w:rsid w:val="00710712"/>
    <w:pPr>
      <w:spacing w:line="240" w:lineRule="auto"/>
    </w:pPr>
    <w:rPr>
      <w:sz w:val="20"/>
      <w:szCs w:val="20"/>
    </w:rPr>
  </w:style>
  <w:style w:type="character" w:customStyle="1" w:styleId="CommentTextChar">
    <w:name w:val="Comment Text Char"/>
    <w:basedOn w:val="DefaultParagraphFont"/>
    <w:link w:val="CommentText"/>
    <w:uiPriority w:val="99"/>
    <w:rsid w:val="00710712"/>
    <w:rPr>
      <w:sz w:val="20"/>
      <w:szCs w:val="20"/>
    </w:rPr>
  </w:style>
  <w:style w:type="paragraph" w:styleId="CommentSubject">
    <w:name w:val="annotation subject"/>
    <w:basedOn w:val="CommentText"/>
    <w:next w:val="CommentText"/>
    <w:link w:val="CommentSubjectChar"/>
    <w:uiPriority w:val="99"/>
    <w:semiHidden/>
    <w:unhideWhenUsed/>
    <w:rsid w:val="00710712"/>
    <w:rPr>
      <w:b/>
      <w:bCs/>
    </w:rPr>
  </w:style>
  <w:style w:type="character" w:customStyle="1" w:styleId="CommentSubjectChar">
    <w:name w:val="Comment Subject Char"/>
    <w:basedOn w:val="CommentTextChar"/>
    <w:link w:val="CommentSubject"/>
    <w:uiPriority w:val="99"/>
    <w:semiHidden/>
    <w:rsid w:val="00710712"/>
    <w:rPr>
      <w:b/>
      <w:bCs/>
      <w:sz w:val="20"/>
      <w:szCs w:val="20"/>
    </w:rPr>
  </w:style>
  <w:style w:type="character" w:styleId="Mention">
    <w:name w:val="Mention"/>
    <w:basedOn w:val="DefaultParagraphFont"/>
    <w:uiPriority w:val="99"/>
    <w:unhideWhenUsed/>
    <w:rsid w:val="00C70897"/>
    <w:rPr>
      <w:color w:val="2B579A"/>
      <w:shd w:val="clear" w:color="auto" w:fill="E1DFDD"/>
    </w:rPr>
  </w:style>
  <w:style w:type="paragraph" w:styleId="FootnoteText">
    <w:name w:val="footnote text"/>
    <w:basedOn w:val="Normal"/>
    <w:link w:val="FootnoteTextChar"/>
    <w:uiPriority w:val="99"/>
    <w:semiHidden/>
    <w:unhideWhenUsed/>
    <w:rsid w:val="00132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A84"/>
    <w:rPr>
      <w:sz w:val="20"/>
      <w:szCs w:val="20"/>
    </w:rPr>
  </w:style>
  <w:style w:type="character" w:styleId="FootnoteReference">
    <w:name w:val="footnote reference"/>
    <w:basedOn w:val="DefaultParagraphFont"/>
    <w:uiPriority w:val="99"/>
    <w:semiHidden/>
    <w:unhideWhenUsed/>
    <w:rsid w:val="00132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4420">
      <w:bodyDiv w:val="1"/>
      <w:marLeft w:val="0"/>
      <w:marRight w:val="0"/>
      <w:marTop w:val="0"/>
      <w:marBottom w:val="0"/>
      <w:divBdr>
        <w:top w:val="none" w:sz="0" w:space="0" w:color="auto"/>
        <w:left w:val="none" w:sz="0" w:space="0" w:color="auto"/>
        <w:bottom w:val="none" w:sz="0" w:space="0" w:color="auto"/>
        <w:right w:val="none" w:sz="0" w:space="0" w:color="auto"/>
      </w:divBdr>
    </w:div>
    <w:div w:id="7425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amblingcommission.gov.uk/policy/statement-of-principles-for-determining-financial-penalties" TargetMode="External"/><Relationship Id="rId26" Type="http://schemas.openxmlformats.org/officeDocument/2006/relationships/hyperlink" Target="https://www.gamblingcommission.gov.uk/policy/statement-of-principles-for-determining-financial-penalties" TargetMode="External"/><Relationship Id="rId39" Type="http://schemas.openxmlformats.org/officeDocument/2006/relationships/footer" Target="footer1.xml"/><Relationship Id="rId21" Type="http://schemas.openxmlformats.org/officeDocument/2006/relationships/hyperlink" Target="https://www.gamblingcommission.gov.uk/privacy-policy" TargetMode="External"/><Relationship Id="rId34" Type="http://schemas.openxmlformats.org/officeDocument/2006/relationships/hyperlink" Target="https://www.gov.uk/government/consultations/consultation-on-the-statutory-levy-on-gambling-operators/outcome/government-response-to-the-consultation-on-the-structure-distribution-and-governance-of-the-statutory-levy-on-gambling-operators" TargetMode="External"/><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gamblingcommission.gov.uk/about-us/guide/advice-to-government-design-and-implementation-of-a-statutory-levy" TargetMode="External"/><Relationship Id="rId20" Type="http://schemas.openxmlformats.org/officeDocument/2006/relationships/hyperlink" Target="https://www.gamblingcommission.gov.uk/privacy-policy" TargetMode="External"/><Relationship Id="rId29" Type="http://schemas.openxmlformats.org/officeDocument/2006/relationships/hyperlink" Target="https://www.gamblingcommission.gov.uk/policy/statement-of-principles-for-determining-financial-penalti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amblingcommission.gov.uk/policy/statement-of-principles-for-determining-financial-penalties" TargetMode="External"/><Relationship Id="rId32" Type="http://schemas.openxmlformats.org/officeDocument/2006/relationships/hyperlink" Target="https://find-government-grants.service.gov.uk/grants/gambling-harms-prevention-voluntary-community-and-social-enterprise-vcse-grant-fund-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uk/uksi/2025/213/contents/made" TargetMode="External"/><Relationship Id="rId23" Type="http://schemas.openxmlformats.org/officeDocument/2006/relationships/hyperlink" Target="https://www.gov.uk/government/publications/high-stakes-gambling-reform-for-the-digital-age" TargetMode="External"/><Relationship Id="rId28" Type="http://schemas.openxmlformats.org/officeDocument/2006/relationships/hyperlink" Target="https://www.gamblingcommission.gov.uk/policy/statement-of-principles-for-determining-financial-penalties" TargetMode="External"/><Relationship Id="rId36" Type="http://schemas.openxmlformats.org/officeDocument/2006/relationships/hyperlink" Target="https://find-government-grants.service.gov.uk/grants/gambling-harms-prevention-voluntary-community-and-social-enterprise-vcse-grant-fund-1" TargetMode="External"/><Relationship Id="rId10" Type="http://schemas.openxmlformats.org/officeDocument/2006/relationships/settings" Target="settings.xml"/><Relationship Id="rId19" Type="http://schemas.openxmlformats.org/officeDocument/2006/relationships/hyperlink" Target="https://www.gamblingcommission.gov.uk/policy/statement-of-principles-for-determining-financial-penalties" TargetMode="External"/><Relationship Id="rId31" Type="http://schemas.openxmlformats.org/officeDocument/2006/relationships/hyperlink" Target="https://questions-statements.parliament.uk/written-statements/detail/2025-12-02/hlws111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high-stakes-gambling-reform-for-the-digital-age" TargetMode="External"/><Relationship Id="rId22" Type="http://schemas.openxmlformats.org/officeDocument/2006/relationships/hyperlink" Target="https://www.gamblingcommission.gov.uk/policy/licensing-compliance-and-enforcement-under-the-gambling-act-2005/5-regulatory-enforcement" TargetMode="External"/><Relationship Id="rId27" Type="http://schemas.openxmlformats.org/officeDocument/2006/relationships/hyperlink" Target="https://www.gambleaware.org/what-we-do/news/news-articles/gambleaware-statement-on-the-new-statutory-gambling-harms-system-and-the-future-of-the-charity/" TargetMode="External"/><Relationship Id="rId30" Type="http://schemas.openxmlformats.org/officeDocument/2006/relationships/hyperlink" Target="https://www.gamblingcommission.gov.uk/policy/licensing-compliance-and-enforcement-under-the-gambling-act-2005/5-regulatory-enforcement" TargetMode="External"/><Relationship Id="rId35" Type="http://schemas.openxmlformats.org/officeDocument/2006/relationships/hyperlink" Target="https://questions-statements.parliament.uk/written-statements/detail/2025-12-02/hlws1116"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amblingcommission.gov.uk/policy/statement-of-principles-for-determining-financial-penalties" TargetMode="External"/><Relationship Id="rId25" Type="http://schemas.openxmlformats.org/officeDocument/2006/relationships/hyperlink" Target="https://www.legislation.gov.uk/ukpga/2005/19/section/121" TargetMode="External"/><Relationship Id="rId33" Type="http://schemas.openxmlformats.org/officeDocument/2006/relationships/hyperlink" Target="https://www.legislation.gov.uk/ukpga/2010/15/section/149"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hmt-central-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Consumers ＆ Partners</TermName>
          <TermId xmlns="http://schemas.microsoft.com/office/infopath/2007/PartnerControls">a0ded2a8-6a71-4290-bf10-07c26f091e31</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758</Value>
    </TaxCatchAll>
  </documentManagement>
</p:properties>
</file>

<file path=customXml/item2.xml><?xml version="1.0" encoding="utf-8"?>
<?mso-contentType ?>
<SharedContentType xmlns="Microsoft.SharePoint.Taxonomy.ContentTypeSync" SourceId="97c85119-18d9-41e7-8c9c-94d8ffdc55dc" ContentTypeId="0x010100943D46E95D4A1B4FBA60C8AEF611E21902050D"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sumers Document" ma:contentTypeID="0x010100943D46E95D4A1B4FBA60C8AEF611E21902050D0061698BE74AD4C848B22E5DF18700ECEE" ma:contentTypeVersion="3" ma:contentTypeDescription="Default CT for the Consumers libraries." ma:contentTypeScope="" ma:versionID="103cccd18e136a27ec59bf8f195c38de">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a498d77df0ae2b9a5bb9490f4dcbb27c"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7069-6AC0-47D8-A813-6DF5CFA0B11E}">
  <ds:schemaRefs>
    <ds:schemaRef ds:uri="http://schemas.microsoft.com/office/2006/metadata/properties"/>
    <ds:schemaRef ds:uri="http://schemas.microsoft.com/office/infopath/2007/PartnerControls"/>
    <ds:schemaRef ds:uri="dcd4d639-de5a-4bad-aded-2c25c5bf9fca"/>
    <ds:schemaRef ds:uri="http://schemas.microsoft.com/sharepoint/v3"/>
  </ds:schemaRefs>
</ds:datastoreItem>
</file>

<file path=customXml/itemProps2.xml><?xml version="1.0" encoding="utf-8"?>
<ds:datastoreItem xmlns:ds="http://schemas.openxmlformats.org/officeDocument/2006/customXml" ds:itemID="{9BDAE069-A4C9-4372-BE18-8BEBBA38B080}">
  <ds:schemaRefs>
    <ds:schemaRef ds:uri="Microsoft.SharePoint.Taxonomy.ContentTypeSync"/>
  </ds:schemaRefs>
</ds:datastoreItem>
</file>

<file path=customXml/itemProps3.xml><?xml version="1.0" encoding="utf-8"?>
<ds:datastoreItem xmlns:ds="http://schemas.openxmlformats.org/officeDocument/2006/customXml" ds:itemID="{E7C78591-1F08-4C61-9396-FE9C69A2343B}">
  <ds:schemaRefs>
    <ds:schemaRef ds:uri="http://schemas.microsoft.com/office/2006/metadata/customXsn"/>
  </ds:schemaRefs>
</ds:datastoreItem>
</file>

<file path=customXml/itemProps4.xml><?xml version="1.0" encoding="utf-8"?>
<ds:datastoreItem xmlns:ds="http://schemas.openxmlformats.org/officeDocument/2006/customXml" ds:itemID="{1D7CBA91-9A64-4FF9-ABCB-9C4C7331A1D6}">
  <ds:schemaRefs>
    <ds:schemaRef ds:uri="http://schemas.microsoft.com/sharepoint/v3/contenttype/forms"/>
  </ds:schemaRefs>
</ds:datastoreItem>
</file>

<file path=customXml/itemProps5.xml><?xml version="1.0" encoding="utf-8"?>
<ds:datastoreItem xmlns:ds="http://schemas.openxmlformats.org/officeDocument/2006/customXml" ds:itemID="{4EDD5381-F08A-47E4-97E3-B2CE184ED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4A261B-440A-474F-86D5-2B99BA8DA2AE}">
  <ds:schemaRefs>
    <ds:schemaRef ds:uri="http://schemas.microsoft.com/sharepoint/events"/>
  </ds:schemaRefs>
</ds:datastoreItem>
</file>

<file path=customXml/itemProps7.xml><?xml version="1.0" encoding="utf-8"?>
<ds:datastoreItem xmlns:ds="http://schemas.openxmlformats.org/officeDocument/2006/customXml" ds:itemID="{0C27C99B-F2FF-4664-81EA-C8C0524A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4219</Words>
  <Characters>24051</Characters>
  <Application>Microsoft Office Word</Application>
  <DocSecurity>0</DocSecurity>
  <Lines>200</Lines>
  <Paragraphs>56</Paragraphs>
  <ScaleCrop>false</ScaleCrop>
  <Company>Gambling Commission</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Higgs</dc:creator>
  <cp:keywords/>
  <dc:description/>
  <cp:lastModifiedBy>Sophie Davis</cp:lastModifiedBy>
  <cp:revision>2</cp:revision>
  <dcterms:created xsi:type="dcterms:W3CDTF">2026-02-05T10:20:00Z</dcterms:created>
  <dcterms:modified xsi:type="dcterms:W3CDTF">2026-02-05T10:20:00Z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0x010100943D46E95D4A1B4FBA60C8AEF611E21902050D0061698BE74AD4C848B22E5DF18700ECEE</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Related Functions">
    <vt:lpwstr/>
  </property>
  <property fmtid="{D5CDD505-2E9C-101B-9397-08002B2CF9AE}" pid="7" name="MediaServiceImageTags">
    <vt:lpwstr/>
  </property>
  <property fmtid="{D5CDD505-2E9C-101B-9397-08002B2CF9AE}" pid="8" name="lcf76f155ced4ddcb4097134ff3c332f">
    <vt:lpwstr/>
  </property>
  <property fmtid="{D5CDD505-2E9C-101B-9397-08002B2CF9AE}" pid="9" name="Function">
    <vt:lpwstr>758;#Consumers ＆ Partners|a0ded2a8-6a71-4290-bf10-07c26f091e31</vt:lpwstr>
  </property>
  <property fmtid="{D5CDD505-2E9C-101B-9397-08002B2CF9AE}" pid="10" name="Operator">
    <vt:lpwstr/>
  </property>
  <property fmtid="{D5CDD505-2E9C-101B-9397-08002B2CF9AE}" pid="11" name="ca506676becf4cdbb613025592e6b965">
    <vt:lpwstr/>
  </property>
  <property fmtid="{D5CDD505-2E9C-101B-9397-08002B2CF9AE}" pid="12" name="l5cd9abbff024cf7bf00a775ad9fdd22">
    <vt:lpwstr/>
  </property>
  <property fmtid="{D5CDD505-2E9C-101B-9397-08002B2CF9AE}" pid="13" name="Related_x0020_Functions">
    <vt:lpwstr/>
  </property>
  <property fmtid="{D5CDD505-2E9C-101B-9397-08002B2CF9AE}" pid="14" name="j67390757fa349cbaf93204f5bf3176a">
    <vt:lpwstr/>
  </property>
  <property fmtid="{D5CDD505-2E9C-101B-9397-08002B2CF9AE}" pid="15" name="LTT_x0020_Topic">
    <vt:lpwstr/>
  </property>
  <property fmtid="{D5CDD505-2E9C-101B-9397-08002B2CF9AE}" pid="16" name="Stakeholder">
    <vt:lpwstr/>
  </property>
  <property fmtid="{D5CDD505-2E9C-101B-9397-08002B2CF9AE}" pid="17" name="LTT Topic">
    <vt:lpwstr/>
  </property>
</Properties>
</file>